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FC1" w:rsidRPr="001A2FE7" w:rsidRDefault="00AD1FC1" w:rsidP="00AD1FC1">
      <w:pPr>
        <w:spacing w:after="0" w:line="240" w:lineRule="auto"/>
        <w:jc w:val="center"/>
        <w:rPr>
          <w:rFonts w:ascii="Garamond" w:eastAsia="Times New Roman" w:hAnsi="Garamond" w:cs="Times New Roman"/>
          <w:b/>
          <w:bCs/>
          <w:sz w:val="40"/>
          <w14:glow w14:rad="38100">
            <w14:schemeClr w14:val="accent1">
              <w14:alpha w14:val="60000"/>
              <w14:lumMod w14:val="75000"/>
            </w14:schemeClr>
          </w14:glow>
        </w:rPr>
      </w:pPr>
      <w:r w:rsidRPr="001A2FE7">
        <w:rPr>
          <w:rFonts w:ascii="Garamond" w:eastAsia="Times New Roman" w:hAnsi="Garamond" w:cs="Times New Roman"/>
          <w:b/>
          <w:bCs/>
          <w:sz w:val="40"/>
          <w14:glow w14:rad="38100">
            <w14:schemeClr w14:val="accent1">
              <w14:alpha w14:val="60000"/>
              <w14:lumMod w14:val="75000"/>
            </w14:schemeClr>
          </w14:glow>
        </w:rPr>
        <w:t>EISCA: Equity-Informed School Climate Assessment</w:t>
      </w:r>
    </w:p>
    <w:p w:rsidR="00E3240D" w:rsidRPr="00E3240D" w:rsidRDefault="00E3240D" w:rsidP="00E3240D">
      <w:pPr>
        <w:spacing w:after="0" w:line="240" w:lineRule="auto"/>
        <w:jc w:val="center"/>
        <w:rPr>
          <w:rFonts w:ascii="Garamond" w:eastAsia="Times New Roman" w:hAnsi="Garamond" w:cs="Times New Roman"/>
          <w:sz w:val="24"/>
          <w:szCs w:val="24"/>
        </w:rPr>
      </w:pPr>
      <w:r w:rsidRPr="00E3240D">
        <w:rPr>
          <w:rFonts w:ascii="Garamond" w:eastAsia="Times New Roman" w:hAnsi="Garamond" w:cs="Times New Roman"/>
          <w:bCs/>
          <w:color w:val="000000"/>
          <w:sz w:val="24"/>
          <w:szCs w:val="24"/>
        </w:rPr>
        <w:t>A Collaboration between</w:t>
      </w:r>
      <w:r>
        <w:rPr>
          <w:rFonts w:ascii="Garamond" w:eastAsia="Times New Roman" w:hAnsi="Garamond" w:cs="Times New Roman"/>
          <w:bCs/>
          <w:color w:val="000000"/>
          <w:sz w:val="24"/>
          <w:szCs w:val="24"/>
        </w:rPr>
        <w:t xml:space="preserve"> The Discovery Center,</w:t>
      </w:r>
      <w:r w:rsidRPr="00E3240D">
        <w:rPr>
          <w:rFonts w:ascii="Garamond" w:eastAsia="Times New Roman" w:hAnsi="Garamond" w:cs="Times New Roman"/>
          <w:bCs/>
          <w:color w:val="000000"/>
          <w:sz w:val="24"/>
          <w:szCs w:val="24"/>
        </w:rPr>
        <w:t xml:space="preserve"> </w:t>
      </w:r>
      <w:proofErr w:type="spellStart"/>
      <w:r>
        <w:rPr>
          <w:rFonts w:ascii="Garamond" w:eastAsia="Times New Roman" w:hAnsi="Garamond" w:cs="Times New Roman"/>
          <w:bCs/>
          <w:color w:val="000000"/>
          <w:sz w:val="24"/>
          <w:szCs w:val="24"/>
        </w:rPr>
        <w:t>EdChange</w:t>
      </w:r>
      <w:proofErr w:type="spellEnd"/>
      <w:r>
        <w:rPr>
          <w:rFonts w:ascii="Garamond" w:eastAsia="Times New Roman" w:hAnsi="Garamond" w:cs="Times New Roman"/>
          <w:bCs/>
          <w:color w:val="000000"/>
          <w:sz w:val="24"/>
          <w:szCs w:val="24"/>
        </w:rPr>
        <w:t xml:space="preserve">, and </w:t>
      </w:r>
      <w:r w:rsidRPr="00E3240D">
        <w:rPr>
          <w:rFonts w:ascii="Garamond" w:eastAsia="Times New Roman" w:hAnsi="Garamond" w:cs="Times New Roman"/>
          <w:bCs/>
          <w:color w:val="000000"/>
          <w:sz w:val="24"/>
          <w:szCs w:val="24"/>
        </w:rPr>
        <w:t>Manchester Public Schools</w:t>
      </w:r>
    </w:p>
    <w:p w:rsidR="00AD1FC1" w:rsidRPr="00E3240D" w:rsidRDefault="00AD1FC1" w:rsidP="00AD1FC1">
      <w:pPr>
        <w:spacing w:after="0" w:line="240" w:lineRule="auto"/>
        <w:rPr>
          <w:rFonts w:ascii="Garamond" w:eastAsia="Times New Roman" w:hAnsi="Garamond" w:cs="Times New Roman"/>
          <w:b/>
          <w:bCs/>
          <w:sz w:val="20"/>
          <w:szCs w:val="24"/>
        </w:rPr>
      </w:pPr>
    </w:p>
    <w:p w:rsidR="00AD1FC1" w:rsidRPr="00E3240D" w:rsidRDefault="00AD1FC1" w:rsidP="00E3240D">
      <w:pPr>
        <w:spacing w:after="0" w:line="240" w:lineRule="auto"/>
        <w:rPr>
          <w:rFonts w:ascii="Garamond" w:eastAsia="Times New Roman" w:hAnsi="Garamond" w:cs="Times New Roman"/>
          <w:b/>
          <w:bCs/>
          <w:sz w:val="24"/>
          <w:szCs w:val="24"/>
        </w:rPr>
      </w:pPr>
      <w:r w:rsidRPr="00E3240D">
        <w:rPr>
          <w:rFonts w:ascii="Garamond" w:eastAsia="Times New Roman" w:hAnsi="Garamond" w:cs="Times New Roman"/>
          <w:b/>
          <w:bCs/>
          <w:sz w:val="24"/>
          <w:szCs w:val="24"/>
        </w:rPr>
        <w:t xml:space="preserve">Statement of Purpose: </w:t>
      </w:r>
      <w:r w:rsidRPr="00E3240D">
        <w:rPr>
          <w:rFonts w:ascii="Garamond" w:hAnsi="Garamond"/>
          <w:color w:val="000000"/>
          <w:sz w:val="24"/>
          <w:szCs w:val="24"/>
        </w:rPr>
        <w:t xml:space="preserve">To assess the experiences--educational, emotional and social--of students, families, and staff [in Manchester Public Schools] through the lens of racial equity </w:t>
      </w:r>
      <w:r w:rsidRPr="00E3240D">
        <w:rPr>
          <w:rFonts w:ascii="Garamond" w:hAnsi="Garamond"/>
          <w:i/>
          <w:iCs/>
          <w:color w:val="000000"/>
          <w:sz w:val="24"/>
          <w:szCs w:val="24"/>
        </w:rPr>
        <w:t>and</w:t>
      </w:r>
      <w:r w:rsidRPr="00E3240D">
        <w:rPr>
          <w:rFonts w:ascii="Garamond" w:hAnsi="Garamond"/>
          <w:color w:val="000000"/>
          <w:sz w:val="24"/>
          <w:szCs w:val="24"/>
        </w:rPr>
        <w:t xml:space="preserve"> identify to what extent district and school policy, practice, and culture impact students with marginalized identities, so we can create sustainable changes to ensure equity for each student.</w:t>
      </w:r>
    </w:p>
    <w:p w:rsidR="0068742B" w:rsidRPr="00E3240D" w:rsidRDefault="0068742B" w:rsidP="00E3240D">
      <w:pPr>
        <w:spacing w:after="0" w:line="240" w:lineRule="auto"/>
        <w:rPr>
          <w:rFonts w:ascii="Garamond" w:eastAsia="Times New Roman" w:hAnsi="Garamond" w:cs="Times New Roman"/>
          <w:b/>
          <w:bCs/>
          <w:sz w:val="20"/>
          <w:szCs w:val="24"/>
        </w:rPr>
      </w:pPr>
    </w:p>
    <w:p w:rsidR="0068742B" w:rsidRPr="00E3240D" w:rsidRDefault="0068742B" w:rsidP="00E3240D">
      <w:pPr>
        <w:spacing w:after="0" w:line="240" w:lineRule="auto"/>
        <w:rPr>
          <w:rFonts w:ascii="Garamond" w:eastAsia="Times New Roman" w:hAnsi="Garamond" w:cs="Times New Roman"/>
          <w:b/>
          <w:bCs/>
          <w:sz w:val="24"/>
          <w:szCs w:val="24"/>
        </w:rPr>
      </w:pPr>
      <w:r w:rsidRPr="00E3240D">
        <w:rPr>
          <w:rFonts w:ascii="Garamond" w:eastAsia="Times New Roman" w:hAnsi="Garamond" w:cs="Times New Roman"/>
          <w:b/>
          <w:bCs/>
          <w:sz w:val="24"/>
          <w:szCs w:val="24"/>
        </w:rPr>
        <w:t xml:space="preserve">The </w:t>
      </w:r>
      <w:r w:rsidRPr="00E3240D">
        <w:rPr>
          <w:rFonts w:ascii="Garamond" w:eastAsia="Times New Roman" w:hAnsi="Garamond" w:cs="Times New Roman"/>
          <w:b/>
          <w:bCs/>
          <w:i/>
          <w:sz w:val="24"/>
          <w:szCs w:val="24"/>
        </w:rPr>
        <w:t>Why</w:t>
      </w:r>
      <w:r w:rsidRPr="00E3240D">
        <w:rPr>
          <w:rFonts w:ascii="Garamond" w:eastAsia="Times New Roman" w:hAnsi="Garamond" w:cs="Times New Roman"/>
          <w:b/>
          <w:bCs/>
          <w:sz w:val="24"/>
          <w:szCs w:val="24"/>
        </w:rPr>
        <w:t>:</w:t>
      </w:r>
    </w:p>
    <w:p w:rsidR="0068742B" w:rsidRPr="00E3240D" w:rsidRDefault="0068742B" w:rsidP="00E3240D">
      <w:pPr>
        <w:pStyle w:val="ListParagraph"/>
        <w:numPr>
          <w:ilvl w:val="0"/>
          <w:numId w:val="10"/>
        </w:numPr>
        <w:spacing w:after="0" w:line="240" w:lineRule="auto"/>
        <w:rPr>
          <w:rFonts w:ascii="Garamond" w:eastAsia="Times New Roman" w:hAnsi="Garamond" w:cs="Times New Roman"/>
          <w:bCs/>
          <w:sz w:val="24"/>
          <w:szCs w:val="24"/>
        </w:rPr>
      </w:pPr>
      <w:r w:rsidRPr="00E3240D">
        <w:rPr>
          <w:rFonts w:ascii="Garamond" w:eastAsia="Times New Roman" w:hAnsi="Garamond" w:cs="Times New Roman"/>
          <w:bCs/>
          <w:sz w:val="24"/>
          <w:szCs w:val="24"/>
        </w:rPr>
        <w:t>When properly collect</w:t>
      </w:r>
      <w:r w:rsidR="00E3240D" w:rsidRPr="00E3240D">
        <w:rPr>
          <w:rFonts w:ascii="Garamond" w:eastAsia="Times New Roman" w:hAnsi="Garamond" w:cs="Times New Roman"/>
          <w:bCs/>
          <w:sz w:val="24"/>
          <w:szCs w:val="24"/>
        </w:rPr>
        <w:t>ed, disaggregated, and analyzed—</w:t>
      </w:r>
      <w:r w:rsidRPr="00E3240D">
        <w:rPr>
          <w:rFonts w:ascii="Garamond" w:eastAsia="Times New Roman" w:hAnsi="Garamond" w:cs="Times New Roman"/>
          <w:bCs/>
          <w:sz w:val="24"/>
          <w:szCs w:val="24"/>
        </w:rPr>
        <w:t>an assessment of school climate, can provide an assessment of school equity</w:t>
      </w:r>
    </w:p>
    <w:p w:rsidR="0068742B" w:rsidRPr="00E3240D" w:rsidRDefault="0068742B" w:rsidP="00E3240D">
      <w:pPr>
        <w:pStyle w:val="ListParagraph"/>
        <w:numPr>
          <w:ilvl w:val="0"/>
          <w:numId w:val="10"/>
        </w:numPr>
        <w:spacing w:after="0" w:line="240" w:lineRule="auto"/>
        <w:rPr>
          <w:rFonts w:ascii="Garamond" w:eastAsia="Times New Roman" w:hAnsi="Garamond" w:cs="Times New Roman"/>
          <w:bCs/>
          <w:sz w:val="24"/>
          <w:szCs w:val="24"/>
        </w:rPr>
      </w:pPr>
      <w:r w:rsidRPr="00E3240D">
        <w:rPr>
          <w:rFonts w:ascii="Garamond" w:eastAsia="Times New Roman" w:hAnsi="Garamond" w:cs="Times New Roman"/>
          <w:bCs/>
          <w:sz w:val="24"/>
          <w:szCs w:val="24"/>
        </w:rPr>
        <w:t>To do this, we must shift the way we assess climate to intentionally focus on the experiences of students (and staff) with marginalized identities--</w:t>
      </w:r>
      <w:r w:rsidR="00C661BC" w:rsidRPr="00E3240D">
        <w:rPr>
          <w:rFonts w:ascii="Garamond" w:eastAsia="Times New Roman" w:hAnsi="Garamond" w:cs="Times New Roman"/>
          <w:bCs/>
          <w:sz w:val="24"/>
          <w:szCs w:val="24"/>
        </w:rPr>
        <w:t>s</w:t>
      </w:r>
      <w:r w:rsidRPr="00E3240D">
        <w:rPr>
          <w:rFonts w:ascii="Garamond" w:eastAsia="Times New Roman" w:hAnsi="Garamond" w:cs="Times New Roman"/>
          <w:bCs/>
          <w:sz w:val="24"/>
          <w:szCs w:val="24"/>
        </w:rPr>
        <w:t>pecifically, students of color</w:t>
      </w:r>
    </w:p>
    <w:p w:rsidR="0068742B" w:rsidRPr="00E3240D" w:rsidRDefault="0068742B" w:rsidP="00E3240D">
      <w:pPr>
        <w:pStyle w:val="ListParagraph"/>
        <w:numPr>
          <w:ilvl w:val="1"/>
          <w:numId w:val="10"/>
        </w:numPr>
        <w:spacing w:after="0" w:line="240" w:lineRule="auto"/>
        <w:rPr>
          <w:rFonts w:ascii="Garamond" w:eastAsia="Times New Roman" w:hAnsi="Garamond" w:cs="Times New Roman"/>
          <w:bCs/>
          <w:sz w:val="24"/>
          <w:szCs w:val="24"/>
        </w:rPr>
      </w:pPr>
      <w:r w:rsidRPr="00E3240D">
        <w:rPr>
          <w:rFonts w:ascii="Garamond" w:eastAsia="Times New Roman" w:hAnsi="Garamond" w:cs="Times New Roman"/>
          <w:bCs/>
          <w:i/>
          <w:sz w:val="24"/>
          <w:szCs w:val="24"/>
        </w:rPr>
        <w:t>Because</w:t>
      </w:r>
      <w:r w:rsidRPr="00E3240D">
        <w:rPr>
          <w:rFonts w:ascii="Garamond" w:eastAsia="Times New Roman" w:hAnsi="Garamond" w:cs="Times New Roman"/>
          <w:bCs/>
          <w:sz w:val="24"/>
          <w:szCs w:val="24"/>
        </w:rPr>
        <w:t>: a school is only as equitable as the most marginalized students experience it to be</w:t>
      </w:r>
    </w:p>
    <w:p w:rsidR="0068742B" w:rsidRPr="00E3240D" w:rsidRDefault="0068742B" w:rsidP="00E3240D">
      <w:pPr>
        <w:pStyle w:val="ListParagraph"/>
        <w:numPr>
          <w:ilvl w:val="0"/>
          <w:numId w:val="10"/>
        </w:numPr>
        <w:spacing w:after="0" w:line="240" w:lineRule="auto"/>
        <w:rPr>
          <w:rFonts w:ascii="Garamond" w:eastAsia="Times New Roman" w:hAnsi="Garamond" w:cs="Times New Roman"/>
          <w:bCs/>
          <w:sz w:val="24"/>
          <w:szCs w:val="24"/>
        </w:rPr>
      </w:pPr>
      <w:r w:rsidRPr="00E3240D">
        <w:rPr>
          <w:rFonts w:ascii="Garamond" w:eastAsia="Times New Roman" w:hAnsi="Garamond" w:cs="Times New Roman"/>
          <w:bCs/>
          <w:sz w:val="24"/>
          <w:szCs w:val="24"/>
        </w:rPr>
        <w:t>When students with the most marginalized identities are served well, ALL students are served well</w:t>
      </w:r>
    </w:p>
    <w:p w:rsidR="00AD1FC1" w:rsidRPr="00E3240D" w:rsidRDefault="00AD1FC1" w:rsidP="00E3240D">
      <w:pPr>
        <w:spacing w:after="0" w:line="240" w:lineRule="auto"/>
        <w:rPr>
          <w:rFonts w:ascii="Garamond" w:eastAsia="Times New Roman" w:hAnsi="Garamond" w:cs="Times New Roman"/>
          <w:b/>
          <w:bCs/>
          <w:sz w:val="20"/>
          <w:szCs w:val="24"/>
        </w:rPr>
      </w:pPr>
    </w:p>
    <w:p w:rsidR="0068742B" w:rsidRPr="00E3240D" w:rsidRDefault="0068742B" w:rsidP="00E3240D">
      <w:pPr>
        <w:spacing w:after="0" w:line="252" w:lineRule="auto"/>
        <w:rPr>
          <w:rFonts w:ascii="Garamond" w:eastAsia="Times New Roman" w:hAnsi="Garamond" w:cs="Times New Roman"/>
          <w:b/>
          <w:bCs/>
          <w:sz w:val="24"/>
          <w:szCs w:val="24"/>
        </w:rPr>
      </w:pPr>
      <w:r w:rsidRPr="00E3240D">
        <w:rPr>
          <w:rFonts w:ascii="Garamond" w:eastAsia="Times New Roman" w:hAnsi="Garamond" w:cs="Times New Roman"/>
          <w:b/>
          <w:bCs/>
          <w:sz w:val="24"/>
          <w:szCs w:val="24"/>
        </w:rPr>
        <w:t xml:space="preserve">The </w:t>
      </w:r>
      <w:r w:rsidRPr="00E3240D">
        <w:rPr>
          <w:rFonts w:ascii="Garamond" w:eastAsia="Times New Roman" w:hAnsi="Garamond" w:cs="Times New Roman"/>
          <w:b/>
          <w:bCs/>
          <w:i/>
          <w:sz w:val="24"/>
          <w:szCs w:val="24"/>
        </w:rPr>
        <w:t>What</w:t>
      </w:r>
      <w:r w:rsidRPr="00E3240D">
        <w:rPr>
          <w:rFonts w:ascii="Garamond" w:eastAsia="Times New Roman" w:hAnsi="Garamond" w:cs="Times New Roman"/>
          <w:b/>
          <w:bCs/>
          <w:sz w:val="24"/>
          <w:szCs w:val="24"/>
        </w:rPr>
        <w:t>:</w:t>
      </w:r>
    </w:p>
    <w:p w:rsidR="00E3240D" w:rsidRPr="00E3240D" w:rsidRDefault="00E3240D" w:rsidP="00E3240D">
      <w:pPr>
        <w:pStyle w:val="ListParagraph"/>
        <w:numPr>
          <w:ilvl w:val="0"/>
          <w:numId w:val="24"/>
        </w:numPr>
        <w:spacing w:after="0" w:line="252" w:lineRule="auto"/>
        <w:rPr>
          <w:rFonts w:ascii="Garamond" w:eastAsia="Times New Roman" w:hAnsi="Garamond" w:cs="Times New Roman"/>
          <w:b/>
          <w:bCs/>
          <w:sz w:val="24"/>
          <w:szCs w:val="24"/>
        </w:rPr>
      </w:pPr>
      <w:r w:rsidRPr="00E3240D">
        <w:rPr>
          <w:rFonts w:ascii="Garamond" w:eastAsia="Times New Roman" w:hAnsi="Garamond" w:cs="Times New Roman"/>
          <w:b/>
          <w:bCs/>
          <w:sz w:val="24"/>
          <w:szCs w:val="24"/>
        </w:rPr>
        <w:t>Background Interviews &amp; Exploratory Focus Groups</w:t>
      </w:r>
    </w:p>
    <w:p w:rsidR="00E3240D" w:rsidRDefault="00E3240D" w:rsidP="00E3240D">
      <w:pPr>
        <w:pStyle w:val="ListParagraph"/>
        <w:numPr>
          <w:ilvl w:val="1"/>
          <w:numId w:val="24"/>
        </w:numPr>
        <w:spacing w:after="120" w:line="252" w:lineRule="auto"/>
        <w:ind w:right="-234"/>
        <w:rPr>
          <w:rFonts w:ascii="Garamond" w:eastAsia="Times New Roman" w:hAnsi="Garamond" w:cs="Times New Roman"/>
          <w:bCs/>
          <w:sz w:val="24"/>
          <w:szCs w:val="24"/>
        </w:rPr>
      </w:pPr>
      <w:r w:rsidRPr="00E3240D">
        <w:rPr>
          <w:rFonts w:ascii="Garamond" w:eastAsia="Times New Roman" w:hAnsi="Garamond" w:cs="Times New Roman"/>
          <w:bCs/>
          <w:sz w:val="24"/>
          <w:szCs w:val="24"/>
        </w:rPr>
        <w:t xml:space="preserve">This data will inform the </w:t>
      </w:r>
      <w:r w:rsidRPr="00E3240D">
        <w:rPr>
          <w:rFonts w:ascii="Garamond" w:eastAsia="Times New Roman" w:hAnsi="Garamond" w:cs="Times New Roman"/>
          <w:bCs/>
          <w:i/>
          <w:sz w:val="24"/>
          <w:szCs w:val="24"/>
        </w:rPr>
        <w:t>process</w:t>
      </w:r>
      <w:r w:rsidRPr="00E3240D">
        <w:rPr>
          <w:rFonts w:ascii="Garamond" w:eastAsia="Times New Roman" w:hAnsi="Garamond" w:cs="Times New Roman"/>
          <w:bCs/>
          <w:sz w:val="24"/>
          <w:szCs w:val="24"/>
        </w:rPr>
        <w:t xml:space="preserve"> and garner broad stakeholder support, not provide </w:t>
      </w:r>
      <w:r w:rsidRPr="00E3240D">
        <w:rPr>
          <w:rFonts w:ascii="Garamond" w:eastAsia="Times New Roman" w:hAnsi="Garamond" w:cs="Times New Roman"/>
          <w:bCs/>
          <w:i/>
          <w:sz w:val="24"/>
          <w:szCs w:val="24"/>
        </w:rPr>
        <w:t>content</w:t>
      </w:r>
      <w:r w:rsidRPr="00E3240D">
        <w:rPr>
          <w:rFonts w:ascii="Garamond" w:eastAsia="Times New Roman" w:hAnsi="Garamond" w:cs="Times New Roman"/>
          <w:bCs/>
          <w:sz w:val="24"/>
          <w:szCs w:val="24"/>
        </w:rPr>
        <w:t xml:space="preserve"> data</w:t>
      </w:r>
    </w:p>
    <w:p w:rsidR="00E3240D" w:rsidRPr="00E3240D" w:rsidRDefault="00E3240D" w:rsidP="00E3240D">
      <w:pPr>
        <w:pStyle w:val="ListParagraph"/>
        <w:spacing w:after="0" w:line="252" w:lineRule="auto"/>
        <w:ind w:left="1440" w:right="-234"/>
        <w:rPr>
          <w:rFonts w:ascii="Garamond" w:eastAsia="Times New Roman" w:hAnsi="Garamond" w:cs="Times New Roman"/>
          <w:bCs/>
          <w:sz w:val="2"/>
          <w:szCs w:val="24"/>
        </w:rPr>
      </w:pPr>
    </w:p>
    <w:p w:rsidR="004D6E23" w:rsidRPr="00E3240D" w:rsidRDefault="004D6E23" w:rsidP="00E3240D">
      <w:pPr>
        <w:pStyle w:val="ListParagraph"/>
        <w:numPr>
          <w:ilvl w:val="0"/>
          <w:numId w:val="24"/>
        </w:numPr>
        <w:spacing w:before="40" w:after="0" w:line="252" w:lineRule="auto"/>
        <w:ind w:right="-234"/>
        <w:rPr>
          <w:rFonts w:ascii="Garamond" w:eastAsia="Times New Roman" w:hAnsi="Garamond" w:cs="Times New Roman"/>
          <w:bCs/>
          <w:sz w:val="24"/>
          <w:szCs w:val="24"/>
        </w:rPr>
      </w:pPr>
      <w:r w:rsidRPr="00E3240D">
        <w:rPr>
          <w:rFonts w:ascii="Garamond" w:eastAsia="Times New Roman" w:hAnsi="Garamond" w:cs="Times New Roman"/>
          <w:b/>
          <w:bCs/>
          <w:sz w:val="24"/>
          <w:szCs w:val="24"/>
        </w:rPr>
        <w:t>Survey Instruments</w:t>
      </w:r>
      <w:r w:rsidR="00E3240D" w:rsidRPr="00E3240D">
        <w:rPr>
          <w:rFonts w:ascii="Garamond" w:eastAsia="Times New Roman" w:hAnsi="Garamond" w:cs="Times New Roman"/>
          <w:b/>
          <w:bCs/>
          <w:sz w:val="24"/>
          <w:szCs w:val="24"/>
        </w:rPr>
        <w:t xml:space="preserve"> for various stakeholder groups (</w:t>
      </w:r>
      <w:r w:rsidR="00E3240D" w:rsidRPr="00E3240D">
        <w:rPr>
          <w:rFonts w:ascii="Garamond" w:eastAsia="Times New Roman" w:hAnsi="Garamond" w:cs="Times New Roman"/>
          <w:b/>
          <w:bCs/>
          <w:i/>
          <w:sz w:val="24"/>
          <w:szCs w:val="24"/>
        </w:rPr>
        <w:t>quantitative data</w:t>
      </w:r>
      <w:r w:rsidR="00E3240D" w:rsidRPr="00E3240D">
        <w:rPr>
          <w:rFonts w:ascii="Garamond" w:eastAsia="Times New Roman" w:hAnsi="Garamond" w:cs="Times New Roman"/>
          <w:b/>
          <w:bCs/>
          <w:sz w:val="24"/>
          <w:szCs w:val="24"/>
        </w:rPr>
        <w:t>)</w:t>
      </w:r>
    </w:p>
    <w:tbl>
      <w:tblPr>
        <w:tblStyle w:val="TableGrid"/>
        <w:tblW w:w="9230" w:type="dxa"/>
        <w:tblInd w:w="1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3330"/>
        <w:gridCol w:w="4190"/>
      </w:tblGrid>
      <w:tr w:rsidR="00E3240D" w:rsidTr="00E3240D">
        <w:tc>
          <w:tcPr>
            <w:tcW w:w="1710" w:type="dxa"/>
          </w:tcPr>
          <w:p w:rsidR="00E3240D" w:rsidRPr="00E3240D" w:rsidRDefault="00E3240D" w:rsidP="00E3240D">
            <w:pPr>
              <w:pStyle w:val="ListParagraph"/>
              <w:numPr>
                <w:ilvl w:val="0"/>
                <w:numId w:val="39"/>
              </w:numPr>
              <w:spacing w:line="252" w:lineRule="auto"/>
              <w:ind w:left="334" w:hanging="270"/>
              <w:rPr>
                <w:rFonts w:ascii="Garamond" w:eastAsia="Times New Roman" w:hAnsi="Garamond" w:cs="Times New Roman"/>
                <w:bCs/>
                <w:sz w:val="24"/>
                <w:szCs w:val="24"/>
              </w:rPr>
            </w:pPr>
            <w:r w:rsidRPr="00E3240D">
              <w:rPr>
                <w:rFonts w:ascii="Garamond" w:hAnsi="Garamond"/>
                <w:color w:val="000000"/>
                <w:sz w:val="24"/>
                <w:szCs w:val="24"/>
              </w:rPr>
              <w:t>Students</w:t>
            </w:r>
          </w:p>
        </w:tc>
        <w:tc>
          <w:tcPr>
            <w:tcW w:w="3330" w:type="dxa"/>
          </w:tcPr>
          <w:p w:rsidR="00E3240D" w:rsidRPr="00E3240D" w:rsidRDefault="00E3240D" w:rsidP="00E3240D">
            <w:pPr>
              <w:pStyle w:val="ListParagraph"/>
              <w:numPr>
                <w:ilvl w:val="0"/>
                <w:numId w:val="39"/>
              </w:numPr>
              <w:spacing w:line="252" w:lineRule="auto"/>
              <w:ind w:left="334" w:hanging="270"/>
              <w:rPr>
                <w:rFonts w:ascii="Garamond" w:eastAsia="Times New Roman" w:hAnsi="Garamond" w:cs="Times New Roman"/>
                <w:bCs/>
                <w:sz w:val="24"/>
                <w:szCs w:val="24"/>
              </w:rPr>
            </w:pPr>
            <w:r w:rsidRPr="00E3240D">
              <w:rPr>
                <w:rFonts w:ascii="Garamond" w:hAnsi="Garamond"/>
                <w:color w:val="000000"/>
                <w:sz w:val="24"/>
                <w:szCs w:val="24"/>
              </w:rPr>
              <w:t>Parents/Guardians/Family</w:t>
            </w:r>
          </w:p>
        </w:tc>
        <w:tc>
          <w:tcPr>
            <w:tcW w:w="4190" w:type="dxa"/>
          </w:tcPr>
          <w:p w:rsidR="00E3240D" w:rsidRPr="00E3240D" w:rsidRDefault="00E3240D" w:rsidP="00E3240D">
            <w:pPr>
              <w:pStyle w:val="ListParagraph"/>
              <w:numPr>
                <w:ilvl w:val="0"/>
                <w:numId w:val="39"/>
              </w:numPr>
              <w:spacing w:line="252" w:lineRule="auto"/>
              <w:ind w:left="334" w:hanging="270"/>
              <w:rPr>
                <w:rFonts w:ascii="Garamond" w:eastAsia="Times New Roman" w:hAnsi="Garamond" w:cs="Times New Roman"/>
                <w:bCs/>
                <w:sz w:val="24"/>
                <w:szCs w:val="24"/>
              </w:rPr>
            </w:pPr>
            <w:r w:rsidRPr="00E3240D">
              <w:rPr>
                <w:rFonts w:ascii="Garamond" w:hAnsi="Garamond"/>
                <w:color w:val="000000"/>
                <w:sz w:val="24"/>
                <w:szCs w:val="24"/>
              </w:rPr>
              <w:t>Administrators/Teachers/School Staff</w:t>
            </w:r>
          </w:p>
        </w:tc>
      </w:tr>
    </w:tbl>
    <w:p w:rsidR="00E3240D" w:rsidRPr="00E3240D" w:rsidRDefault="00E3240D" w:rsidP="00E3240D">
      <w:pPr>
        <w:pStyle w:val="ListParagraph"/>
        <w:numPr>
          <w:ilvl w:val="0"/>
          <w:numId w:val="24"/>
        </w:numPr>
        <w:spacing w:before="40" w:after="0" w:line="252" w:lineRule="auto"/>
        <w:rPr>
          <w:rFonts w:ascii="Garamond" w:eastAsia="Times New Roman" w:hAnsi="Garamond" w:cs="Times New Roman"/>
          <w:b/>
          <w:bCs/>
          <w:sz w:val="24"/>
          <w:szCs w:val="24"/>
        </w:rPr>
      </w:pPr>
      <w:r w:rsidRPr="00E3240D">
        <w:rPr>
          <w:rFonts w:ascii="Garamond" w:eastAsia="Times New Roman" w:hAnsi="Garamond" w:cs="Times New Roman"/>
          <w:b/>
          <w:bCs/>
          <w:sz w:val="24"/>
          <w:szCs w:val="24"/>
        </w:rPr>
        <w:t>Focus Groups (</w:t>
      </w:r>
      <w:r w:rsidRPr="00E3240D">
        <w:rPr>
          <w:rFonts w:ascii="Garamond" w:eastAsia="Times New Roman" w:hAnsi="Garamond" w:cs="Times New Roman"/>
          <w:b/>
          <w:bCs/>
          <w:i/>
          <w:sz w:val="24"/>
          <w:szCs w:val="24"/>
        </w:rPr>
        <w:t>qualitative data</w:t>
      </w:r>
      <w:r w:rsidRPr="00E3240D">
        <w:rPr>
          <w:rFonts w:ascii="Garamond" w:eastAsia="Times New Roman" w:hAnsi="Garamond" w:cs="Times New Roman"/>
          <w:b/>
          <w:bCs/>
          <w:sz w:val="24"/>
          <w:szCs w:val="24"/>
        </w:rPr>
        <w:t>)</w:t>
      </w:r>
    </w:p>
    <w:p w:rsidR="00E3240D" w:rsidRPr="00E3240D" w:rsidRDefault="00E3240D" w:rsidP="00E3240D">
      <w:pPr>
        <w:pStyle w:val="ListParagraph"/>
        <w:numPr>
          <w:ilvl w:val="0"/>
          <w:numId w:val="19"/>
        </w:numPr>
        <w:spacing w:after="0" w:line="252" w:lineRule="auto"/>
        <w:rPr>
          <w:rFonts w:ascii="Garamond" w:eastAsia="Times New Roman" w:hAnsi="Garamond" w:cs="Times New Roman"/>
          <w:b/>
          <w:bCs/>
          <w:sz w:val="24"/>
          <w:szCs w:val="24"/>
        </w:rPr>
      </w:pPr>
      <w:r>
        <w:rPr>
          <w:rFonts w:ascii="Garamond" w:eastAsia="Times New Roman" w:hAnsi="Garamond" w:cs="Times New Roman"/>
          <w:bCs/>
          <w:sz w:val="24"/>
          <w:szCs w:val="24"/>
        </w:rPr>
        <w:t>I</w:t>
      </w:r>
      <w:r w:rsidR="00421A94">
        <w:rPr>
          <w:rFonts w:ascii="Garamond" w:eastAsia="Times New Roman" w:hAnsi="Garamond" w:cs="Times New Roman"/>
          <w:bCs/>
          <w:sz w:val="24"/>
          <w:szCs w:val="24"/>
        </w:rPr>
        <w:t>dentity-</w:t>
      </w:r>
      <w:r w:rsidRPr="00E3240D">
        <w:rPr>
          <w:rFonts w:ascii="Garamond" w:eastAsia="Times New Roman" w:hAnsi="Garamond" w:cs="Times New Roman"/>
          <w:bCs/>
          <w:sz w:val="24"/>
          <w:szCs w:val="24"/>
        </w:rPr>
        <w:t>based affinity groups</w:t>
      </w:r>
      <w:r>
        <w:rPr>
          <w:rFonts w:ascii="Garamond" w:eastAsia="Times New Roman" w:hAnsi="Garamond" w:cs="Times New Roman"/>
          <w:bCs/>
          <w:sz w:val="24"/>
          <w:szCs w:val="24"/>
        </w:rPr>
        <w:t xml:space="preserve"> </w:t>
      </w:r>
      <w:r w:rsidRPr="00E3240D">
        <w:rPr>
          <w:rFonts w:ascii="Garamond" w:eastAsia="Times New Roman" w:hAnsi="Garamond" w:cs="Times New Roman"/>
          <w:bCs/>
          <w:sz w:val="24"/>
          <w:szCs w:val="24"/>
        </w:rPr>
        <w:t>f</w:t>
      </w:r>
      <w:r>
        <w:rPr>
          <w:rFonts w:ascii="Garamond" w:eastAsia="Times New Roman" w:hAnsi="Garamond" w:cs="Times New Roman"/>
          <w:bCs/>
          <w:sz w:val="24"/>
          <w:szCs w:val="24"/>
        </w:rPr>
        <w:t>ocus</w:t>
      </w:r>
      <w:r w:rsidR="00421A94">
        <w:rPr>
          <w:rFonts w:ascii="Garamond" w:eastAsia="Times New Roman" w:hAnsi="Garamond" w:cs="Times New Roman"/>
          <w:bCs/>
          <w:sz w:val="24"/>
          <w:szCs w:val="24"/>
        </w:rPr>
        <w:t>ed</w:t>
      </w:r>
      <w:r w:rsidRPr="00E3240D">
        <w:rPr>
          <w:rFonts w:ascii="Garamond" w:eastAsia="Times New Roman" w:hAnsi="Garamond" w:cs="Times New Roman"/>
          <w:bCs/>
          <w:sz w:val="24"/>
          <w:szCs w:val="24"/>
        </w:rPr>
        <w:t xml:space="preserve"> on these 6 marginalized identities</w:t>
      </w:r>
      <w:r w:rsidR="00421A94">
        <w:rPr>
          <w:rFonts w:ascii="Garamond" w:eastAsia="Times New Roman" w:hAnsi="Garamond" w:cs="Times New Roman"/>
          <w:bCs/>
          <w:sz w:val="24"/>
          <w:szCs w:val="24"/>
        </w:rPr>
        <w:t xml:space="preserve"> (led by individuals who hold these identities)—additional, </w:t>
      </w:r>
      <w:r w:rsidRPr="00E3240D">
        <w:rPr>
          <w:rFonts w:ascii="Garamond" w:eastAsia="Times New Roman" w:hAnsi="Garamond" w:cs="Times New Roman"/>
          <w:bCs/>
          <w:sz w:val="24"/>
          <w:szCs w:val="24"/>
        </w:rPr>
        <w:t xml:space="preserve">more specific </w:t>
      </w:r>
      <w:r>
        <w:rPr>
          <w:rFonts w:ascii="Garamond" w:eastAsia="Times New Roman" w:hAnsi="Garamond" w:cs="Times New Roman"/>
          <w:bCs/>
          <w:sz w:val="24"/>
          <w:szCs w:val="24"/>
        </w:rPr>
        <w:t>groups may</w:t>
      </w:r>
      <w:r w:rsidRPr="00E3240D">
        <w:rPr>
          <w:rFonts w:ascii="Garamond" w:eastAsia="Times New Roman" w:hAnsi="Garamond" w:cs="Times New Roman"/>
          <w:bCs/>
          <w:sz w:val="24"/>
          <w:szCs w:val="24"/>
        </w:rPr>
        <w:t xml:space="preserve"> be identified as necessary</w:t>
      </w:r>
      <w:bookmarkStart w:id="1" w:name="_GoBack"/>
      <w:bookmarkEnd w:id="1"/>
    </w:p>
    <w:tbl>
      <w:tblPr>
        <w:tblStyle w:val="TableGrid"/>
        <w:tblW w:w="0" w:type="auto"/>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176"/>
      </w:tblGrid>
      <w:tr w:rsidR="00E3240D" w:rsidRPr="00E3240D" w:rsidTr="00E3240D">
        <w:tc>
          <w:tcPr>
            <w:tcW w:w="4230" w:type="dxa"/>
          </w:tcPr>
          <w:p w:rsidR="00E3240D" w:rsidRPr="00E3240D" w:rsidRDefault="00E3240D" w:rsidP="00E3240D">
            <w:pPr>
              <w:pStyle w:val="ListParagraph"/>
              <w:numPr>
                <w:ilvl w:val="0"/>
                <w:numId w:val="23"/>
              </w:numPr>
              <w:spacing w:line="252" w:lineRule="auto"/>
              <w:ind w:left="342"/>
              <w:rPr>
                <w:rFonts w:ascii="Garamond" w:eastAsia="Times New Roman" w:hAnsi="Garamond" w:cs="Times New Roman"/>
                <w:bCs/>
                <w:sz w:val="24"/>
                <w:szCs w:val="24"/>
              </w:rPr>
            </w:pPr>
            <w:r w:rsidRPr="00E3240D">
              <w:rPr>
                <w:rFonts w:ascii="Garamond" w:hAnsi="Garamond"/>
                <w:color w:val="000000"/>
                <w:sz w:val="24"/>
                <w:szCs w:val="24"/>
              </w:rPr>
              <w:t>Race (Specifically: Black, Latino, Asian)</w:t>
            </w:r>
          </w:p>
        </w:tc>
        <w:tc>
          <w:tcPr>
            <w:tcW w:w="4176" w:type="dxa"/>
          </w:tcPr>
          <w:p w:rsidR="00E3240D" w:rsidRPr="00E3240D" w:rsidRDefault="00E3240D" w:rsidP="00E3240D">
            <w:pPr>
              <w:pStyle w:val="ListParagraph"/>
              <w:numPr>
                <w:ilvl w:val="0"/>
                <w:numId w:val="23"/>
              </w:numPr>
              <w:spacing w:line="252" w:lineRule="auto"/>
              <w:ind w:left="342"/>
              <w:rPr>
                <w:rFonts w:ascii="Garamond" w:eastAsia="Times New Roman" w:hAnsi="Garamond" w:cs="Times New Roman"/>
                <w:bCs/>
                <w:sz w:val="24"/>
                <w:szCs w:val="24"/>
              </w:rPr>
            </w:pPr>
            <w:r w:rsidRPr="00E3240D">
              <w:rPr>
                <w:rFonts w:ascii="Garamond" w:hAnsi="Garamond"/>
                <w:color w:val="000000"/>
                <w:sz w:val="24"/>
                <w:szCs w:val="24"/>
              </w:rPr>
              <w:t>Female (Specifically: female of color)</w:t>
            </w:r>
          </w:p>
        </w:tc>
      </w:tr>
      <w:tr w:rsidR="00E3240D" w:rsidRPr="00E3240D" w:rsidTr="00E3240D">
        <w:tc>
          <w:tcPr>
            <w:tcW w:w="4230" w:type="dxa"/>
          </w:tcPr>
          <w:p w:rsidR="00E3240D" w:rsidRPr="00E3240D" w:rsidRDefault="00E3240D" w:rsidP="00E3240D">
            <w:pPr>
              <w:pStyle w:val="ListParagraph"/>
              <w:numPr>
                <w:ilvl w:val="0"/>
                <w:numId w:val="23"/>
              </w:numPr>
              <w:spacing w:line="252" w:lineRule="auto"/>
              <w:ind w:left="342"/>
              <w:rPr>
                <w:rFonts w:ascii="Garamond" w:eastAsia="Times New Roman" w:hAnsi="Garamond" w:cs="Times New Roman"/>
                <w:bCs/>
                <w:sz w:val="24"/>
                <w:szCs w:val="24"/>
              </w:rPr>
            </w:pPr>
            <w:r w:rsidRPr="00E3240D">
              <w:rPr>
                <w:rFonts w:ascii="Garamond" w:hAnsi="Garamond"/>
                <w:color w:val="000000"/>
                <w:sz w:val="24"/>
                <w:szCs w:val="24"/>
              </w:rPr>
              <w:t>LGBTQIA+</w:t>
            </w:r>
          </w:p>
        </w:tc>
        <w:tc>
          <w:tcPr>
            <w:tcW w:w="4176" w:type="dxa"/>
          </w:tcPr>
          <w:p w:rsidR="00E3240D" w:rsidRPr="00E3240D" w:rsidRDefault="00E3240D" w:rsidP="00E3240D">
            <w:pPr>
              <w:pStyle w:val="ListParagraph"/>
              <w:numPr>
                <w:ilvl w:val="0"/>
                <w:numId w:val="23"/>
              </w:numPr>
              <w:spacing w:line="252" w:lineRule="auto"/>
              <w:ind w:left="342"/>
              <w:rPr>
                <w:rFonts w:ascii="Garamond" w:eastAsia="Times New Roman" w:hAnsi="Garamond" w:cs="Times New Roman"/>
                <w:bCs/>
                <w:sz w:val="24"/>
                <w:szCs w:val="24"/>
              </w:rPr>
            </w:pPr>
            <w:r w:rsidRPr="00E3240D">
              <w:rPr>
                <w:rFonts w:ascii="Garamond" w:eastAsia="Times New Roman" w:hAnsi="Garamond" w:cs="Times New Roman"/>
                <w:bCs/>
                <w:sz w:val="24"/>
                <w:szCs w:val="24"/>
              </w:rPr>
              <w:t>Low Income</w:t>
            </w:r>
          </w:p>
        </w:tc>
      </w:tr>
      <w:tr w:rsidR="00E3240D" w:rsidRPr="00E3240D" w:rsidTr="00E3240D">
        <w:tc>
          <w:tcPr>
            <w:tcW w:w="4230" w:type="dxa"/>
          </w:tcPr>
          <w:p w:rsidR="00E3240D" w:rsidRPr="00E3240D" w:rsidRDefault="00E3240D" w:rsidP="00E3240D">
            <w:pPr>
              <w:pStyle w:val="ListParagraph"/>
              <w:numPr>
                <w:ilvl w:val="0"/>
                <w:numId w:val="23"/>
              </w:numPr>
              <w:spacing w:line="252" w:lineRule="auto"/>
              <w:ind w:left="342"/>
              <w:rPr>
                <w:rFonts w:ascii="Garamond" w:eastAsia="Times New Roman" w:hAnsi="Garamond" w:cs="Times New Roman"/>
                <w:bCs/>
                <w:sz w:val="24"/>
                <w:szCs w:val="24"/>
              </w:rPr>
            </w:pPr>
            <w:r w:rsidRPr="00E3240D">
              <w:rPr>
                <w:rFonts w:ascii="Garamond" w:eastAsia="Times New Roman" w:hAnsi="Garamond" w:cs="Times New Roman"/>
                <w:bCs/>
                <w:sz w:val="24"/>
                <w:szCs w:val="24"/>
              </w:rPr>
              <w:t xml:space="preserve">Special Education </w:t>
            </w:r>
          </w:p>
        </w:tc>
        <w:tc>
          <w:tcPr>
            <w:tcW w:w="4176" w:type="dxa"/>
          </w:tcPr>
          <w:p w:rsidR="00E3240D" w:rsidRPr="00E3240D" w:rsidRDefault="00E3240D" w:rsidP="00E3240D">
            <w:pPr>
              <w:pStyle w:val="ListParagraph"/>
              <w:numPr>
                <w:ilvl w:val="0"/>
                <w:numId w:val="23"/>
              </w:numPr>
              <w:spacing w:line="252" w:lineRule="auto"/>
              <w:ind w:left="342"/>
              <w:rPr>
                <w:rFonts w:ascii="Garamond" w:eastAsia="Times New Roman" w:hAnsi="Garamond" w:cs="Times New Roman"/>
                <w:bCs/>
                <w:sz w:val="24"/>
                <w:szCs w:val="24"/>
              </w:rPr>
            </w:pPr>
            <w:r w:rsidRPr="00E3240D">
              <w:rPr>
                <w:rFonts w:ascii="Garamond" w:eastAsia="Times New Roman" w:hAnsi="Garamond" w:cs="Times New Roman"/>
                <w:bCs/>
                <w:sz w:val="24"/>
                <w:szCs w:val="24"/>
              </w:rPr>
              <w:t>English Language Learners</w:t>
            </w:r>
          </w:p>
        </w:tc>
      </w:tr>
    </w:tbl>
    <w:p w:rsidR="00E3240D" w:rsidRPr="00E3240D" w:rsidRDefault="00E3240D" w:rsidP="00E3240D">
      <w:pPr>
        <w:pStyle w:val="ListParagraph"/>
        <w:numPr>
          <w:ilvl w:val="0"/>
          <w:numId w:val="24"/>
        </w:numPr>
        <w:spacing w:before="40" w:after="0" w:line="252" w:lineRule="auto"/>
        <w:rPr>
          <w:rFonts w:ascii="Garamond" w:eastAsia="Times New Roman" w:hAnsi="Garamond" w:cs="Times New Roman"/>
          <w:b/>
          <w:bCs/>
          <w:sz w:val="24"/>
          <w:szCs w:val="24"/>
        </w:rPr>
      </w:pPr>
      <w:r w:rsidRPr="00E3240D">
        <w:rPr>
          <w:rFonts w:ascii="Garamond" w:eastAsia="Times New Roman" w:hAnsi="Garamond" w:cs="Times New Roman"/>
          <w:b/>
          <w:bCs/>
          <w:sz w:val="24"/>
          <w:szCs w:val="24"/>
        </w:rPr>
        <w:t>Comprehensive Record Review</w:t>
      </w:r>
    </w:p>
    <w:p w:rsidR="00E3240D" w:rsidRPr="00E3240D" w:rsidRDefault="00E3240D" w:rsidP="00E3240D">
      <w:pPr>
        <w:pStyle w:val="ListParagraph"/>
        <w:numPr>
          <w:ilvl w:val="1"/>
          <w:numId w:val="24"/>
        </w:numPr>
        <w:spacing w:after="0" w:line="252" w:lineRule="auto"/>
        <w:rPr>
          <w:rFonts w:ascii="Garamond" w:eastAsia="Times New Roman" w:hAnsi="Garamond" w:cs="Times New Roman"/>
          <w:bCs/>
          <w:sz w:val="24"/>
          <w:szCs w:val="24"/>
        </w:rPr>
      </w:pPr>
      <w:r>
        <w:rPr>
          <w:rFonts w:ascii="Garamond" w:eastAsia="Times New Roman" w:hAnsi="Garamond" w:cs="Times New Roman"/>
          <w:bCs/>
          <w:sz w:val="24"/>
          <w:szCs w:val="24"/>
        </w:rPr>
        <w:t>Examining the</w:t>
      </w:r>
      <w:r w:rsidRPr="00E3240D">
        <w:rPr>
          <w:rFonts w:ascii="Garamond" w:eastAsia="Times New Roman" w:hAnsi="Garamond" w:cs="Times New Roman"/>
          <w:bCs/>
          <w:sz w:val="24"/>
          <w:szCs w:val="24"/>
        </w:rPr>
        <w:t xml:space="preserve"> disparate impact on </w:t>
      </w:r>
      <w:r>
        <w:rPr>
          <w:rFonts w:ascii="Garamond" w:eastAsia="Times New Roman" w:hAnsi="Garamond" w:cs="Times New Roman"/>
          <w:bCs/>
          <w:sz w:val="24"/>
          <w:szCs w:val="24"/>
        </w:rPr>
        <w:t xml:space="preserve">students who hold </w:t>
      </w:r>
      <w:r w:rsidRPr="00E3240D">
        <w:rPr>
          <w:rFonts w:ascii="Garamond" w:eastAsia="Times New Roman" w:hAnsi="Garamond" w:cs="Times New Roman"/>
          <w:bCs/>
          <w:sz w:val="24"/>
          <w:szCs w:val="24"/>
        </w:rPr>
        <w:t xml:space="preserve">marginalized </w:t>
      </w:r>
      <w:r>
        <w:rPr>
          <w:rFonts w:ascii="Garamond" w:eastAsia="Times New Roman" w:hAnsi="Garamond" w:cs="Times New Roman"/>
          <w:bCs/>
          <w:sz w:val="24"/>
          <w:szCs w:val="24"/>
        </w:rPr>
        <w:t>identities</w:t>
      </w:r>
      <w:r w:rsidRPr="00E3240D">
        <w:rPr>
          <w:rFonts w:ascii="Garamond" w:eastAsia="Times New Roman" w:hAnsi="Garamond" w:cs="Times New Roman"/>
          <w:bCs/>
          <w:sz w:val="24"/>
          <w:szCs w:val="24"/>
        </w:rPr>
        <w:t>—including:</w:t>
      </w:r>
    </w:p>
    <w:tbl>
      <w:tblPr>
        <w:tblStyle w:val="TableGrid"/>
        <w:tblW w:w="0" w:type="auto"/>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176"/>
      </w:tblGrid>
      <w:tr w:rsidR="00E3240D" w:rsidRPr="00E3240D" w:rsidTr="00E3240D">
        <w:tc>
          <w:tcPr>
            <w:tcW w:w="4230" w:type="dxa"/>
          </w:tcPr>
          <w:p w:rsidR="00E3240D" w:rsidRPr="00E3240D" w:rsidRDefault="00E3240D" w:rsidP="00E3240D">
            <w:pPr>
              <w:pStyle w:val="ListParagraph"/>
              <w:numPr>
                <w:ilvl w:val="0"/>
                <w:numId w:val="23"/>
              </w:numPr>
              <w:spacing w:line="252" w:lineRule="auto"/>
              <w:ind w:left="342"/>
              <w:rPr>
                <w:rFonts w:ascii="Garamond" w:eastAsia="Times New Roman" w:hAnsi="Garamond" w:cs="Times New Roman"/>
                <w:bCs/>
                <w:sz w:val="24"/>
                <w:szCs w:val="24"/>
              </w:rPr>
            </w:pPr>
            <w:r w:rsidRPr="00E3240D">
              <w:rPr>
                <w:rFonts w:ascii="Garamond" w:hAnsi="Garamond"/>
                <w:color w:val="000000"/>
                <w:sz w:val="24"/>
                <w:szCs w:val="24"/>
              </w:rPr>
              <w:t>Curriculum</w:t>
            </w:r>
          </w:p>
        </w:tc>
        <w:tc>
          <w:tcPr>
            <w:tcW w:w="4176" w:type="dxa"/>
          </w:tcPr>
          <w:p w:rsidR="00E3240D" w:rsidRPr="00E3240D" w:rsidRDefault="00E3240D" w:rsidP="00E3240D">
            <w:pPr>
              <w:pStyle w:val="ListParagraph"/>
              <w:numPr>
                <w:ilvl w:val="0"/>
                <w:numId w:val="23"/>
              </w:numPr>
              <w:spacing w:line="252" w:lineRule="auto"/>
              <w:ind w:left="342"/>
              <w:rPr>
                <w:rFonts w:ascii="Garamond" w:eastAsia="Times New Roman" w:hAnsi="Garamond" w:cs="Times New Roman"/>
                <w:bCs/>
                <w:sz w:val="24"/>
                <w:szCs w:val="24"/>
              </w:rPr>
            </w:pPr>
            <w:r w:rsidRPr="00E3240D">
              <w:rPr>
                <w:rFonts w:ascii="Garamond" w:hAnsi="Garamond"/>
                <w:color w:val="000000"/>
                <w:sz w:val="24"/>
                <w:szCs w:val="24"/>
              </w:rPr>
              <w:t xml:space="preserve">Policies </w:t>
            </w:r>
          </w:p>
        </w:tc>
      </w:tr>
      <w:tr w:rsidR="00E3240D" w:rsidRPr="00E3240D" w:rsidTr="00E3240D">
        <w:tc>
          <w:tcPr>
            <w:tcW w:w="4230" w:type="dxa"/>
          </w:tcPr>
          <w:p w:rsidR="00E3240D" w:rsidRPr="00E3240D" w:rsidRDefault="00E3240D" w:rsidP="00E3240D">
            <w:pPr>
              <w:pStyle w:val="ListParagraph"/>
              <w:numPr>
                <w:ilvl w:val="0"/>
                <w:numId w:val="23"/>
              </w:numPr>
              <w:spacing w:line="252" w:lineRule="auto"/>
              <w:ind w:left="342"/>
              <w:rPr>
                <w:rFonts w:ascii="Garamond" w:eastAsia="Times New Roman" w:hAnsi="Garamond" w:cs="Times New Roman"/>
                <w:bCs/>
                <w:sz w:val="24"/>
                <w:szCs w:val="24"/>
              </w:rPr>
            </w:pPr>
            <w:r w:rsidRPr="00E3240D">
              <w:rPr>
                <w:rFonts w:ascii="Garamond" w:hAnsi="Garamond"/>
                <w:color w:val="000000"/>
                <w:sz w:val="24"/>
                <w:szCs w:val="24"/>
              </w:rPr>
              <w:t>Procedures</w:t>
            </w:r>
          </w:p>
        </w:tc>
        <w:tc>
          <w:tcPr>
            <w:tcW w:w="4176" w:type="dxa"/>
          </w:tcPr>
          <w:p w:rsidR="00E3240D" w:rsidRPr="00E3240D" w:rsidRDefault="00E3240D" w:rsidP="00E3240D">
            <w:pPr>
              <w:pStyle w:val="ListParagraph"/>
              <w:numPr>
                <w:ilvl w:val="0"/>
                <w:numId w:val="23"/>
              </w:numPr>
              <w:spacing w:line="252" w:lineRule="auto"/>
              <w:ind w:left="342"/>
              <w:rPr>
                <w:rFonts w:ascii="Garamond" w:eastAsia="Times New Roman" w:hAnsi="Garamond" w:cs="Times New Roman"/>
                <w:bCs/>
                <w:sz w:val="24"/>
                <w:szCs w:val="24"/>
              </w:rPr>
            </w:pPr>
            <w:r w:rsidRPr="00E3240D">
              <w:rPr>
                <w:rFonts w:ascii="Garamond" w:eastAsia="Times New Roman" w:hAnsi="Garamond" w:cs="Times New Roman"/>
                <w:bCs/>
                <w:sz w:val="24"/>
                <w:szCs w:val="24"/>
              </w:rPr>
              <w:t>Academic measures/outcomes</w:t>
            </w:r>
          </w:p>
        </w:tc>
      </w:tr>
      <w:tr w:rsidR="00E3240D" w:rsidRPr="00E3240D" w:rsidTr="00E3240D">
        <w:tc>
          <w:tcPr>
            <w:tcW w:w="4230" w:type="dxa"/>
          </w:tcPr>
          <w:p w:rsidR="00E3240D" w:rsidRPr="00E3240D" w:rsidRDefault="00E3240D" w:rsidP="00E3240D">
            <w:pPr>
              <w:pStyle w:val="ListParagraph"/>
              <w:numPr>
                <w:ilvl w:val="0"/>
                <w:numId w:val="23"/>
              </w:numPr>
              <w:spacing w:line="252" w:lineRule="auto"/>
              <w:ind w:left="342"/>
              <w:rPr>
                <w:rFonts w:ascii="Garamond" w:eastAsia="Times New Roman" w:hAnsi="Garamond" w:cs="Times New Roman"/>
                <w:bCs/>
                <w:sz w:val="24"/>
                <w:szCs w:val="24"/>
              </w:rPr>
            </w:pPr>
            <w:r w:rsidRPr="00E3240D">
              <w:rPr>
                <w:rFonts w:ascii="Garamond" w:eastAsia="Times New Roman" w:hAnsi="Garamond" w:cs="Times New Roman"/>
                <w:bCs/>
                <w:sz w:val="24"/>
                <w:szCs w:val="24"/>
              </w:rPr>
              <w:t xml:space="preserve">Discipline </w:t>
            </w:r>
          </w:p>
        </w:tc>
        <w:tc>
          <w:tcPr>
            <w:tcW w:w="4176" w:type="dxa"/>
          </w:tcPr>
          <w:p w:rsidR="00E3240D" w:rsidRPr="00E3240D" w:rsidRDefault="00E3240D" w:rsidP="00E3240D">
            <w:pPr>
              <w:pStyle w:val="ListParagraph"/>
              <w:numPr>
                <w:ilvl w:val="0"/>
                <w:numId w:val="23"/>
              </w:numPr>
              <w:spacing w:line="252" w:lineRule="auto"/>
              <w:ind w:left="342"/>
              <w:rPr>
                <w:rFonts w:ascii="Garamond" w:eastAsia="Times New Roman" w:hAnsi="Garamond" w:cs="Times New Roman"/>
                <w:bCs/>
                <w:sz w:val="24"/>
                <w:szCs w:val="24"/>
              </w:rPr>
            </w:pPr>
            <w:r w:rsidRPr="00E3240D">
              <w:rPr>
                <w:rFonts w:ascii="Garamond" w:eastAsia="Times New Roman" w:hAnsi="Garamond" w:cs="Times New Roman"/>
                <w:bCs/>
                <w:sz w:val="24"/>
                <w:szCs w:val="24"/>
              </w:rPr>
              <w:t>AP, Gifted/T</w:t>
            </w:r>
            <w:r>
              <w:rPr>
                <w:rFonts w:ascii="Garamond" w:eastAsia="Times New Roman" w:hAnsi="Garamond" w:cs="Times New Roman"/>
                <w:bCs/>
                <w:sz w:val="24"/>
                <w:szCs w:val="24"/>
              </w:rPr>
              <w:t>alented, Spec. Ed., etc.</w:t>
            </w:r>
          </w:p>
        </w:tc>
      </w:tr>
    </w:tbl>
    <w:p w:rsidR="00E3240D" w:rsidRPr="00E3240D" w:rsidRDefault="00E3240D" w:rsidP="00E3240D">
      <w:pPr>
        <w:pStyle w:val="ListParagraph"/>
        <w:numPr>
          <w:ilvl w:val="0"/>
          <w:numId w:val="24"/>
        </w:numPr>
        <w:spacing w:before="40" w:after="0" w:line="252" w:lineRule="auto"/>
        <w:rPr>
          <w:rFonts w:ascii="Garamond" w:eastAsia="Times New Roman" w:hAnsi="Garamond" w:cs="Times New Roman"/>
          <w:b/>
          <w:bCs/>
          <w:sz w:val="24"/>
          <w:szCs w:val="24"/>
        </w:rPr>
      </w:pPr>
      <w:r w:rsidRPr="00E3240D">
        <w:rPr>
          <w:rFonts w:ascii="Garamond" w:eastAsia="Times New Roman" w:hAnsi="Garamond" w:cs="Times New Roman"/>
          <w:b/>
          <w:bCs/>
          <w:sz w:val="24"/>
          <w:szCs w:val="24"/>
        </w:rPr>
        <w:t>Ethnographic Site Visits</w:t>
      </w:r>
    </w:p>
    <w:p w:rsidR="0068742B" w:rsidRPr="00E3240D" w:rsidRDefault="0068742B" w:rsidP="00E3240D">
      <w:pPr>
        <w:spacing w:after="0" w:line="252" w:lineRule="auto"/>
        <w:rPr>
          <w:rFonts w:ascii="Garamond" w:eastAsia="Times New Roman" w:hAnsi="Garamond" w:cs="Times New Roman"/>
          <w:b/>
          <w:bCs/>
          <w:sz w:val="20"/>
          <w:szCs w:val="24"/>
        </w:rPr>
      </w:pPr>
    </w:p>
    <w:p w:rsidR="00E3240D" w:rsidRPr="00E3240D" w:rsidRDefault="00E3240D" w:rsidP="00E3240D">
      <w:pPr>
        <w:spacing w:after="0" w:line="252" w:lineRule="auto"/>
        <w:rPr>
          <w:rFonts w:ascii="Garamond" w:eastAsia="Times New Roman" w:hAnsi="Garamond" w:cs="Times New Roman"/>
          <w:b/>
          <w:bCs/>
          <w:sz w:val="24"/>
          <w:szCs w:val="24"/>
        </w:rPr>
      </w:pPr>
      <w:r w:rsidRPr="00E3240D">
        <w:rPr>
          <w:rFonts w:ascii="Garamond" w:eastAsia="Times New Roman" w:hAnsi="Garamond" w:cs="Times New Roman"/>
          <w:b/>
          <w:bCs/>
          <w:sz w:val="24"/>
          <w:szCs w:val="24"/>
        </w:rPr>
        <w:t xml:space="preserve">The </w:t>
      </w:r>
      <w:r w:rsidRPr="00E3240D">
        <w:rPr>
          <w:rFonts w:ascii="Garamond" w:eastAsia="Times New Roman" w:hAnsi="Garamond" w:cs="Times New Roman"/>
          <w:b/>
          <w:bCs/>
          <w:i/>
          <w:sz w:val="24"/>
          <w:szCs w:val="24"/>
        </w:rPr>
        <w:t>How</w:t>
      </w:r>
      <w:r w:rsidRPr="00E3240D">
        <w:rPr>
          <w:rFonts w:ascii="Garamond" w:eastAsia="Times New Roman" w:hAnsi="Garamond" w:cs="Times New Roman"/>
          <w:b/>
          <w:bCs/>
          <w:sz w:val="24"/>
          <w:szCs w:val="24"/>
        </w:rPr>
        <w:t>:</w:t>
      </w:r>
    </w:p>
    <w:p w:rsidR="00E3240D" w:rsidRDefault="00E3240D" w:rsidP="00E3240D">
      <w:pPr>
        <w:spacing w:after="0"/>
        <w:rPr>
          <w:rFonts w:ascii="Garamond" w:hAnsi="Garamond"/>
          <w:color w:val="000000"/>
          <w:sz w:val="24"/>
          <w:szCs w:val="24"/>
        </w:rPr>
      </w:pPr>
      <w:r>
        <w:rPr>
          <w:rFonts w:ascii="Garamond" w:hAnsi="Garamond"/>
          <w:color w:val="000000"/>
          <w:sz w:val="24"/>
          <w:szCs w:val="24"/>
        </w:rPr>
        <w:t xml:space="preserve">Through a partnership with The Discovery Center and </w:t>
      </w:r>
      <w:proofErr w:type="spellStart"/>
      <w:r>
        <w:rPr>
          <w:rFonts w:ascii="Garamond" w:hAnsi="Garamond"/>
          <w:color w:val="000000"/>
          <w:sz w:val="24"/>
          <w:szCs w:val="24"/>
        </w:rPr>
        <w:t>EdChange</w:t>
      </w:r>
      <w:proofErr w:type="spellEnd"/>
      <w:r>
        <w:rPr>
          <w:rFonts w:ascii="Garamond" w:hAnsi="Garamond"/>
          <w:color w:val="000000"/>
          <w:sz w:val="24"/>
          <w:szCs w:val="24"/>
        </w:rPr>
        <w:t>, Manchester Public Schools (MPS) is seeking to uncover inequities in its current system. Data</w:t>
      </w:r>
      <w:r>
        <w:rPr>
          <w:rFonts w:ascii="Garamond" w:hAnsi="Garamond"/>
          <w:sz w:val="24"/>
          <w:szCs w:val="24"/>
        </w:rPr>
        <w:t xml:space="preserve"> collection and analysis conducted by The Discovery Center and </w:t>
      </w:r>
      <w:proofErr w:type="spellStart"/>
      <w:r>
        <w:rPr>
          <w:rFonts w:ascii="Garamond" w:hAnsi="Garamond"/>
          <w:sz w:val="24"/>
          <w:szCs w:val="24"/>
        </w:rPr>
        <w:t>EdChange</w:t>
      </w:r>
      <w:proofErr w:type="spellEnd"/>
      <w:r>
        <w:rPr>
          <w:rFonts w:ascii="Garamond" w:hAnsi="Garamond"/>
          <w:sz w:val="24"/>
          <w:szCs w:val="24"/>
        </w:rPr>
        <w:t xml:space="preserve"> will inform the creation of </w:t>
      </w:r>
      <w:r>
        <w:rPr>
          <w:rFonts w:ascii="Garamond" w:hAnsi="Garamond"/>
          <w:color w:val="000000"/>
          <w:sz w:val="24"/>
          <w:szCs w:val="24"/>
        </w:rPr>
        <w:t xml:space="preserve">a report with recommendations for action moving forward. </w:t>
      </w:r>
      <w:r>
        <w:rPr>
          <w:rFonts w:ascii="Garamond" w:hAnsi="Garamond"/>
          <w:sz w:val="24"/>
          <w:szCs w:val="24"/>
        </w:rPr>
        <w:t xml:space="preserve">Utilizing the recommendations in the report, </w:t>
      </w:r>
      <w:r>
        <w:rPr>
          <w:rFonts w:ascii="Garamond" w:hAnsi="Garamond"/>
          <w:color w:val="000000"/>
          <w:sz w:val="24"/>
          <w:szCs w:val="24"/>
        </w:rPr>
        <w:t xml:space="preserve">MPS will create and implement an Action Plan with the aim of creating an equitable learning and working environment for all members of </w:t>
      </w:r>
      <w:r>
        <w:rPr>
          <w:rFonts w:ascii="Garamond" w:hAnsi="Garamond"/>
          <w:sz w:val="24"/>
          <w:szCs w:val="24"/>
        </w:rPr>
        <w:t>its</w:t>
      </w:r>
      <w:r>
        <w:rPr>
          <w:rFonts w:ascii="Garamond" w:hAnsi="Garamond"/>
          <w:color w:val="000000"/>
          <w:sz w:val="24"/>
          <w:szCs w:val="24"/>
        </w:rPr>
        <w:t xml:space="preserve"> school community.</w:t>
      </w:r>
    </w:p>
    <w:p w:rsidR="00E3240D" w:rsidRPr="00E3240D" w:rsidRDefault="00E3240D" w:rsidP="00E3240D">
      <w:pPr>
        <w:spacing w:after="0" w:line="252" w:lineRule="auto"/>
        <w:rPr>
          <w:rFonts w:ascii="Garamond" w:eastAsia="Times New Roman" w:hAnsi="Garamond" w:cs="Times New Roman"/>
          <w:b/>
          <w:bCs/>
          <w:color w:val="000000"/>
          <w:sz w:val="20"/>
          <w:szCs w:val="24"/>
        </w:rPr>
      </w:pPr>
    </w:p>
    <w:p w:rsidR="00E3240D" w:rsidRDefault="00E3240D" w:rsidP="00E3240D">
      <w:pPr>
        <w:spacing w:after="40" w:line="252" w:lineRule="auto"/>
        <w:rPr>
          <w:rFonts w:ascii="Garamond" w:eastAsia="Times New Roman" w:hAnsi="Garamond" w:cs="Times New Roman"/>
          <w:b/>
          <w:bCs/>
          <w:color w:val="000000"/>
          <w:sz w:val="24"/>
          <w:szCs w:val="24"/>
        </w:rPr>
      </w:pPr>
      <w:r w:rsidRPr="00E3240D">
        <w:rPr>
          <w:rFonts w:ascii="Garamond" w:eastAsia="Times New Roman" w:hAnsi="Garamond" w:cs="Times New Roman"/>
          <w:b/>
          <w:bCs/>
          <w:color w:val="000000"/>
          <w:sz w:val="24"/>
          <w:szCs w:val="24"/>
        </w:rPr>
        <w:t>Underlying Values of the Equity-Informed School Climate Assessment (EISCA)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6241"/>
      </w:tblGrid>
      <w:tr w:rsidR="00E3240D" w:rsidTr="001A2FE7">
        <w:tc>
          <w:tcPr>
            <w:tcW w:w="3685" w:type="dxa"/>
          </w:tcPr>
          <w:p w:rsidR="00E3240D" w:rsidRPr="00E3240D" w:rsidRDefault="00E3240D" w:rsidP="00E3240D">
            <w:pPr>
              <w:pStyle w:val="ListParagraph"/>
              <w:numPr>
                <w:ilvl w:val="0"/>
                <w:numId w:val="34"/>
              </w:numPr>
              <w:spacing w:line="252" w:lineRule="auto"/>
              <w:ind w:left="334"/>
              <w:rPr>
                <w:rFonts w:ascii="Garamond" w:eastAsia="Times New Roman" w:hAnsi="Garamond" w:cs="Times New Roman"/>
                <w:sz w:val="24"/>
                <w:szCs w:val="24"/>
              </w:rPr>
            </w:pPr>
            <w:r w:rsidRPr="00E3240D">
              <w:rPr>
                <w:rFonts w:ascii="Garamond" w:eastAsia="Times New Roman" w:hAnsi="Garamond" w:cs="Times New Roman"/>
                <w:sz w:val="24"/>
                <w:szCs w:val="24"/>
              </w:rPr>
              <w:t>Action-focused</w:t>
            </w:r>
          </w:p>
        </w:tc>
        <w:tc>
          <w:tcPr>
            <w:tcW w:w="6241" w:type="dxa"/>
          </w:tcPr>
          <w:p w:rsidR="00E3240D" w:rsidRPr="00E3240D" w:rsidRDefault="00E3240D" w:rsidP="00E3240D">
            <w:pPr>
              <w:pStyle w:val="ListParagraph"/>
              <w:numPr>
                <w:ilvl w:val="0"/>
                <w:numId w:val="34"/>
              </w:numPr>
              <w:spacing w:line="252" w:lineRule="auto"/>
              <w:ind w:left="334"/>
              <w:rPr>
                <w:rFonts w:ascii="Garamond" w:eastAsia="Times New Roman" w:hAnsi="Garamond" w:cs="Times New Roman"/>
                <w:sz w:val="24"/>
                <w:szCs w:val="24"/>
              </w:rPr>
            </w:pPr>
            <w:r w:rsidRPr="00E3240D">
              <w:rPr>
                <w:rFonts w:ascii="Garamond" w:eastAsia="Times New Roman" w:hAnsi="Garamond" w:cs="Times New Roman"/>
                <w:sz w:val="24"/>
                <w:szCs w:val="24"/>
              </w:rPr>
              <w:t xml:space="preserve">Race is at the center </w:t>
            </w:r>
            <w:r w:rsidRPr="00E3240D">
              <w:rPr>
                <w:rFonts w:ascii="Garamond" w:eastAsia="Times New Roman" w:hAnsi="Garamond" w:cs="Times New Roman"/>
                <w:i/>
                <w:sz w:val="24"/>
                <w:szCs w:val="24"/>
              </w:rPr>
              <w:t>and</w:t>
            </w:r>
            <w:r w:rsidRPr="00E3240D">
              <w:rPr>
                <w:rFonts w:ascii="Garamond" w:eastAsia="Times New Roman" w:hAnsi="Garamond" w:cs="Times New Roman"/>
                <w:sz w:val="24"/>
                <w:szCs w:val="24"/>
              </w:rPr>
              <w:t xml:space="preserve"> it is intersectional</w:t>
            </w:r>
          </w:p>
        </w:tc>
      </w:tr>
      <w:tr w:rsidR="00E3240D" w:rsidTr="001A2FE7">
        <w:tc>
          <w:tcPr>
            <w:tcW w:w="3685" w:type="dxa"/>
          </w:tcPr>
          <w:p w:rsidR="00E3240D" w:rsidRPr="00E3240D" w:rsidRDefault="00E3240D" w:rsidP="00E3240D">
            <w:pPr>
              <w:pStyle w:val="ListParagraph"/>
              <w:numPr>
                <w:ilvl w:val="0"/>
                <w:numId w:val="34"/>
              </w:numPr>
              <w:spacing w:line="252" w:lineRule="auto"/>
              <w:ind w:left="334"/>
              <w:rPr>
                <w:rFonts w:ascii="Garamond" w:eastAsia="Times New Roman" w:hAnsi="Garamond" w:cs="Times New Roman"/>
                <w:sz w:val="24"/>
                <w:szCs w:val="24"/>
              </w:rPr>
            </w:pPr>
            <w:r w:rsidRPr="00E3240D">
              <w:rPr>
                <w:rFonts w:ascii="Garamond" w:eastAsia="Times New Roman" w:hAnsi="Garamond" w:cs="Times New Roman"/>
                <w:sz w:val="24"/>
                <w:szCs w:val="24"/>
              </w:rPr>
              <w:t>R</w:t>
            </w:r>
            <w:r>
              <w:rPr>
                <w:rFonts w:ascii="Garamond" w:eastAsia="Times New Roman" w:hAnsi="Garamond" w:cs="Times New Roman"/>
                <w:sz w:val="24"/>
                <w:szCs w:val="24"/>
              </w:rPr>
              <w:t>igorous, purposeful, strategic</w:t>
            </w:r>
          </w:p>
        </w:tc>
        <w:tc>
          <w:tcPr>
            <w:tcW w:w="6241" w:type="dxa"/>
          </w:tcPr>
          <w:p w:rsidR="00E3240D" w:rsidRPr="00E3240D" w:rsidRDefault="00E3240D" w:rsidP="00E3240D">
            <w:pPr>
              <w:pStyle w:val="ListParagraph"/>
              <w:numPr>
                <w:ilvl w:val="0"/>
                <w:numId w:val="34"/>
              </w:numPr>
              <w:spacing w:line="252" w:lineRule="auto"/>
              <w:ind w:left="334"/>
              <w:rPr>
                <w:rFonts w:ascii="Garamond" w:eastAsia="Times New Roman" w:hAnsi="Garamond" w:cs="Times New Roman"/>
                <w:sz w:val="24"/>
                <w:szCs w:val="24"/>
              </w:rPr>
            </w:pPr>
            <w:r w:rsidRPr="00E3240D">
              <w:rPr>
                <w:rFonts w:ascii="Garamond" w:eastAsia="Times New Roman" w:hAnsi="Garamond" w:cs="Times New Roman"/>
                <w:sz w:val="24"/>
                <w:szCs w:val="24"/>
              </w:rPr>
              <w:t>Transformative process: making the invisible, visible</w:t>
            </w:r>
          </w:p>
        </w:tc>
      </w:tr>
      <w:tr w:rsidR="00E3240D" w:rsidTr="001A2FE7">
        <w:tc>
          <w:tcPr>
            <w:tcW w:w="3685" w:type="dxa"/>
          </w:tcPr>
          <w:p w:rsidR="00E3240D" w:rsidRPr="00E3240D" w:rsidRDefault="00E3240D" w:rsidP="00E3240D">
            <w:pPr>
              <w:pStyle w:val="ListParagraph"/>
              <w:numPr>
                <w:ilvl w:val="0"/>
                <w:numId w:val="34"/>
              </w:numPr>
              <w:spacing w:line="252" w:lineRule="auto"/>
              <w:ind w:left="334"/>
              <w:rPr>
                <w:rFonts w:ascii="Garamond" w:eastAsia="Times New Roman" w:hAnsi="Garamond" w:cs="Times New Roman"/>
                <w:sz w:val="24"/>
                <w:szCs w:val="24"/>
              </w:rPr>
            </w:pPr>
            <w:r w:rsidRPr="00E3240D">
              <w:rPr>
                <w:rFonts w:ascii="Garamond" w:eastAsia="Times New Roman" w:hAnsi="Garamond" w:cs="Times New Roman"/>
                <w:sz w:val="24"/>
                <w:szCs w:val="24"/>
              </w:rPr>
              <w:t>Clear, transparent, credible</w:t>
            </w:r>
          </w:p>
        </w:tc>
        <w:tc>
          <w:tcPr>
            <w:tcW w:w="6241" w:type="dxa"/>
          </w:tcPr>
          <w:p w:rsidR="00E3240D" w:rsidRPr="00E3240D" w:rsidRDefault="00E3240D" w:rsidP="00E3240D">
            <w:pPr>
              <w:pStyle w:val="ListParagraph"/>
              <w:numPr>
                <w:ilvl w:val="0"/>
                <w:numId w:val="34"/>
              </w:numPr>
              <w:spacing w:line="252" w:lineRule="auto"/>
              <w:ind w:left="334"/>
              <w:rPr>
                <w:rFonts w:ascii="Garamond" w:eastAsia="Times New Roman" w:hAnsi="Garamond" w:cs="Times New Roman"/>
                <w:sz w:val="24"/>
                <w:szCs w:val="24"/>
              </w:rPr>
            </w:pPr>
            <w:r w:rsidRPr="00E3240D">
              <w:rPr>
                <w:rFonts w:ascii="Garamond" w:eastAsia="Times New Roman" w:hAnsi="Garamond" w:cs="Times New Roman"/>
                <w:sz w:val="24"/>
                <w:szCs w:val="24"/>
              </w:rPr>
              <w:t>Accountable to students, parents &amp; entire school community</w:t>
            </w:r>
          </w:p>
        </w:tc>
      </w:tr>
      <w:tr w:rsidR="00E3240D" w:rsidTr="001A2FE7">
        <w:trPr>
          <w:trHeight w:val="56"/>
        </w:trPr>
        <w:tc>
          <w:tcPr>
            <w:tcW w:w="3685" w:type="dxa"/>
          </w:tcPr>
          <w:p w:rsidR="00E3240D" w:rsidRPr="00E3240D" w:rsidRDefault="00E3240D" w:rsidP="00E3240D">
            <w:pPr>
              <w:pStyle w:val="ListParagraph"/>
              <w:numPr>
                <w:ilvl w:val="0"/>
                <w:numId w:val="34"/>
              </w:numPr>
              <w:spacing w:line="252" w:lineRule="auto"/>
              <w:ind w:left="334"/>
              <w:rPr>
                <w:rFonts w:ascii="Garamond" w:eastAsia="Times New Roman" w:hAnsi="Garamond" w:cs="Times New Roman"/>
                <w:sz w:val="24"/>
                <w:szCs w:val="24"/>
              </w:rPr>
            </w:pPr>
            <w:r w:rsidRPr="00E3240D">
              <w:rPr>
                <w:rFonts w:ascii="Garamond" w:eastAsia="Times New Roman" w:hAnsi="Garamond" w:cs="Times New Roman"/>
                <w:sz w:val="24"/>
                <w:szCs w:val="24"/>
              </w:rPr>
              <w:t>Adaptable and customizable</w:t>
            </w:r>
          </w:p>
        </w:tc>
        <w:tc>
          <w:tcPr>
            <w:tcW w:w="6241" w:type="dxa"/>
          </w:tcPr>
          <w:p w:rsidR="00E3240D" w:rsidRPr="00E3240D" w:rsidRDefault="00E3240D" w:rsidP="00E3240D">
            <w:pPr>
              <w:pStyle w:val="ListParagraph"/>
              <w:numPr>
                <w:ilvl w:val="0"/>
                <w:numId w:val="34"/>
              </w:numPr>
              <w:spacing w:line="252" w:lineRule="auto"/>
              <w:ind w:left="334"/>
              <w:rPr>
                <w:rFonts w:ascii="Garamond" w:eastAsia="Times New Roman" w:hAnsi="Garamond" w:cs="Times New Roman"/>
                <w:sz w:val="24"/>
                <w:szCs w:val="24"/>
              </w:rPr>
            </w:pPr>
            <w:r w:rsidRPr="00E3240D">
              <w:rPr>
                <w:rFonts w:ascii="Garamond" w:eastAsia="Times New Roman" w:hAnsi="Garamond" w:cs="Times New Roman"/>
                <w:sz w:val="24"/>
                <w:szCs w:val="24"/>
              </w:rPr>
              <w:t>Accessible: no jargon and multilingual</w:t>
            </w:r>
          </w:p>
        </w:tc>
      </w:tr>
    </w:tbl>
    <w:p w:rsidR="00E3240D" w:rsidRPr="00E3240D" w:rsidRDefault="00E3240D" w:rsidP="00E3240D">
      <w:pPr>
        <w:spacing w:after="0" w:line="240" w:lineRule="auto"/>
        <w:rPr>
          <w:rFonts w:ascii="Garamond" w:eastAsia="Times New Roman" w:hAnsi="Garamond" w:cs="Times New Roman"/>
          <w:b/>
          <w:iCs/>
          <w:color w:val="000000"/>
          <w:sz w:val="24"/>
          <w:szCs w:val="24"/>
        </w:rPr>
      </w:pPr>
      <w:r w:rsidRPr="00E3240D">
        <w:rPr>
          <w:rFonts w:ascii="Garamond" w:eastAsia="Times New Roman" w:hAnsi="Garamond" w:cs="Times New Roman"/>
          <w:b/>
          <w:iCs/>
          <w:color w:val="000000"/>
          <w:sz w:val="24"/>
          <w:szCs w:val="24"/>
        </w:rPr>
        <w:lastRenderedPageBreak/>
        <w:t>What is Equity?</w:t>
      </w:r>
    </w:p>
    <w:p w:rsidR="00E3240D" w:rsidRDefault="00E3240D" w:rsidP="00E3240D">
      <w:pPr>
        <w:spacing w:after="0" w:line="240" w:lineRule="auto"/>
        <w:rPr>
          <w:rFonts w:ascii="Garamond" w:eastAsia="Times New Roman" w:hAnsi="Garamond" w:cs="Times New Roman"/>
          <w:iCs/>
          <w:color w:val="000000"/>
          <w:sz w:val="24"/>
          <w:szCs w:val="24"/>
        </w:rPr>
      </w:pPr>
      <w:r w:rsidRPr="00E3240D">
        <w:rPr>
          <w:rFonts w:ascii="Garamond" w:eastAsia="Times New Roman" w:hAnsi="Garamond" w:cs="Times New Roman"/>
          <w:iCs/>
          <w:color w:val="000000"/>
          <w:sz w:val="24"/>
          <w:szCs w:val="24"/>
        </w:rPr>
        <w:t>Equity is achieved when student outcomes are not predicated by gender, race, ethnicity, class, or special needs and where all students reach a level of efficacy and competence that supports a rewarding and productive life. This requires elimination of the inequities that contribute to disproportionate learning and achievement by students of certain social groups, while ensuring students are prepared for a productive and meaningful life.</w:t>
      </w:r>
      <w:r>
        <w:rPr>
          <w:rFonts w:ascii="Garamond" w:eastAsia="Times New Roman" w:hAnsi="Garamond" w:cs="Times New Roman"/>
          <w:iCs/>
          <w:color w:val="000000"/>
          <w:sz w:val="24"/>
          <w:szCs w:val="24"/>
        </w:rPr>
        <w:t xml:space="preserve">     </w:t>
      </w:r>
    </w:p>
    <w:p w:rsidR="00E3240D" w:rsidRPr="00E3240D" w:rsidRDefault="00E3240D" w:rsidP="00E3240D">
      <w:pPr>
        <w:spacing w:after="0" w:line="240" w:lineRule="auto"/>
        <w:jc w:val="right"/>
        <w:rPr>
          <w:rFonts w:ascii="Garamond" w:eastAsia="Times New Roman" w:hAnsi="Garamond" w:cs="Times New Roman"/>
          <w:i/>
          <w:sz w:val="24"/>
          <w:szCs w:val="24"/>
        </w:rPr>
      </w:pPr>
      <w:r>
        <w:rPr>
          <w:rFonts w:ascii="Garamond" w:eastAsia="Times New Roman" w:hAnsi="Garamond" w:cs="Times New Roman"/>
          <w:iCs/>
          <w:color w:val="000000"/>
          <w:sz w:val="24"/>
          <w:szCs w:val="24"/>
        </w:rPr>
        <w:t xml:space="preserve">                                                                                – </w:t>
      </w:r>
      <w:r w:rsidRPr="00E3240D">
        <w:rPr>
          <w:rFonts w:ascii="Garamond" w:eastAsia="Times New Roman" w:hAnsi="Garamond" w:cs="Times New Roman"/>
          <w:i/>
          <w:color w:val="000000"/>
          <w:sz w:val="24"/>
          <w:szCs w:val="24"/>
        </w:rPr>
        <w:t>Connecticut Center for School Change</w:t>
      </w:r>
    </w:p>
    <w:p w:rsidR="00E3240D" w:rsidRPr="00E3240D" w:rsidRDefault="00E3240D" w:rsidP="00E3240D">
      <w:pPr>
        <w:spacing w:after="0" w:line="240" w:lineRule="auto"/>
        <w:rPr>
          <w:rFonts w:ascii="Garamond" w:eastAsia="Times New Roman" w:hAnsi="Garamond" w:cs="Times New Roman"/>
          <w:b/>
          <w:bCs/>
          <w:color w:val="000000"/>
          <w:sz w:val="10"/>
          <w:szCs w:val="24"/>
        </w:rPr>
      </w:pPr>
    </w:p>
    <w:p w:rsidR="00E3240D" w:rsidRPr="00E3240D" w:rsidRDefault="00E3240D" w:rsidP="00E3240D">
      <w:pPr>
        <w:spacing w:after="0" w:line="216" w:lineRule="auto"/>
        <w:textAlignment w:val="baseline"/>
        <w:rPr>
          <w:rFonts w:ascii="Garamond" w:eastAsia="Times New Roman" w:hAnsi="Garamond" w:cs="Times New Roman"/>
          <w:b/>
          <w:color w:val="000000"/>
          <w:sz w:val="24"/>
          <w:szCs w:val="24"/>
        </w:rPr>
      </w:pPr>
      <w:r w:rsidRPr="00E3240D">
        <w:rPr>
          <w:rFonts w:ascii="Garamond" w:eastAsia="Times New Roman" w:hAnsi="Garamond" w:cs="Times New Roman"/>
          <w:b/>
          <w:color w:val="000000"/>
          <w:sz w:val="24"/>
          <w:szCs w:val="24"/>
        </w:rPr>
        <w:t>EISCA is not:</w:t>
      </w:r>
    </w:p>
    <w:p w:rsidR="00E3240D" w:rsidRPr="00E3240D" w:rsidRDefault="00E3240D" w:rsidP="00E3240D">
      <w:pPr>
        <w:pStyle w:val="ListParagraph"/>
        <w:numPr>
          <w:ilvl w:val="0"/>
          <w:numId w:val="30"/>
        </w:numPr>
        <w:spacing w:after="0" w:line="240" w:lineRule="auto"/>
        <w:textAlignment w:val="baseline"/>
        <w:rPr>
          <w:rFonts w:ascii="Garamond" w:eastAsia="Times New Roman" w:hAnsi="Garamond" w:cs="Times New Roman"/>
          <w:b/>
          <w:color w:val="000000"/>
          <w:sz w:val="24"/>
          <w:szCs w:val="24"/>
        </w:rPr>
      </w:pPr>
      <w:r>
        <w:rPr>
          <w:rFonts w:ascii="Garamond" w:eastAsia="Times New Roman" w:hAnsi="Garamond" w:cs="Times New Roman"/>
          <w:color w:val="000000"/>
          <w:sz w:val="24"/>
          <w:szCs w:val="24"/>
        </w:rPr>
        <w:t>An easy 5-step equity checklist</w:t>
      </w:r>
    </w:p>
    <w:p w:rsidR="00E3240D" w:rsidRPr="00E3240D" w:rsidRDefault="00E3240D" w:rsidP="00E3240D">
      <w:pPr>
        <w:pStyle w:val="ListParagraph"/>
        <w:numPr>
          <w:ilvl w:val="0"/>
          <w:numId w:val="30"/>
        </w:numPr>
        <w:spacing w:after="0" w:line="240" w:lineRule="auto"/>
        <w:textAlignment w:val="baseline"/>
        <w:rPr>
          <w:rFonts w:ascii="Garamond" w:eastAsia="Times New Roman" w:hAnsi="Garamond" w:cs="Times New Roman"/>
          <w:b/>
          <w:color w:val="000000"/>
          <w:sz w:val="24"/>
          <w:szCs w:val="24"/>
        </w:rPr>
      </w:pPr>
      <w:r w:rsidRPr="00E3240D">
        <w:rPr>
          <w:rFonts w:ascii="Garamond" w:eastAsia="Times New Roman" w:hAnsi="Garamond" w:cs="Times New Roman"/>
          <w:color w:val="000000"/>
          <w:sz w:val="24"/>
          <w:szCs w:val="24"/>
        </w:rPr>
        <w:t>Immediately implementable in all districts or schools</w:t>
      </w:r>
    </w:p>
    <w:p w:rsidR="00E3240D" w:rsidRPr="00E3240D" w:rsidRDefault="00E3240D" w:rsidP="00E3240D">
      <w:pPr>
        <w:pStyle w:val="ListParagraph"/>
        <w:numPr>
          <w:ilvl w:val="1"/>
          <w:numId w:val="30"/>
        </w:numPr>
        <w:spacing w:after="0" w:line="240" w:lineRule="auto"/>
        <w:textAlignment w:val="baseline"/>
        <w:rPr>
          <w:rFonts w:ascii="Garamond" w:eastAsia="Times New Roman" w:hAnsi="Garamond" w:cs="Times New Roman"/>
          <w:b/>
          <w:color w:val="000000"/>
          <w:sz w:val="24"/>
          <w:szCs w:val="24"/>
        </w:rPr>
      </w:pPr>
      <w:r w:rsidRPr="00E3240D">
        <w:rPr>
          <w:rFonts w:ascii="Garamond" w:eastAsia="Times New Roman" w:hAnsi="Garamond" w:cs="Times New Roman"/>
          <w:color w:val="000000"/>
          <w:sz w:val="24"/>
          <w:szCs w:val="24"/>
        </w:rPr>
        <w:t xml:space="preserve">A readiness assessment </w:t>
      </w:r>
      <w:r>
        <w:rPr>
          <w:rFonts w:ascii="Garamond" w:eastAsia="Times New Roman" w:hAnsi="Garamond" w:cs="Times New Roman"/>
          <w:color w:val="000000"/>
          <w:sz w:val="24"/>
          <w:szCs w:val="24"/>
        </w:rPr>
        <w:t xml:space="preserve">and commitment to action are </w:t>
      </w:r>
      <w:r w:rsidRPr="00E3240D">
        <w:rPr>
          <w:rFonts w:ascii="Garamond" w:eastAsia="Times New Roman" w:hAnsi="Garamond" w:cs="Times New Roman"/>
          <w:color w:val="000000"/>
          <w:sz w:val="24"/>
          <w:szCs w:val="24"/>
          <w:u w:val="single"/>
        </w:rPr>
        <w:t>required</w:t>
      </w:r>
    </w:p>
    <w:p w:rsidR="00E3240D" w:rsidRPr="00E3240D" w:rsidRDefault="00E3240D" w:rsidP="00E3240D">
      <w:pPr>
        <w:pStyle w:val="ListParagraph"/>
        <w:numPr>
          <w:ilvl w:val="0"/>
          <w:numId w:val="30"/>
        </w:numPr>
        <w:spacing w:after="0" w:line="240" w:lineRule="auto"/>
        <w:textAlignment w:val="baseline"/>
        <w:rPr>
          <w:rFonts w:ascii="Garamond" w:eastAsia="Times New Roman" w:hAnsi="Garamond" w:cs="Times New Roman"/>
          <w:b/>
          <w:color w:val="000000"/>
          <w:sz w:val="24"/>
          <w:szCs w:val="24"/>
        </w:rPr>
      </w:pPr>
      <w:r>
        <w:rPr>
          <w:rFonts w:ascii="Garamond" w:eastAsia="Times New Roman" w:hAnsi="Garamond" w:cs="Times New Roman"/>
          <w:color w:val="000000"/>
          <w:sz w:val="24"/>
          <w:szCs w:val="24"/>
        </w:rPr>
        <w:t>A ‘solution’ to inequity</w:t>
      </w:r>
    </w:p>
    <w:p w:rsidR="00E3240D" w:rsidRPr="00E3240D" w:rsidRDefault="00E3240D" w:rsidP="00E3240D">
      <w:pPr>
        <w:spacing w:after="0" w:line="240" w:lineRule="auto"/>
        <w:textAlignment w:val="baseline"/>
        <w:rPr>
          <w:rFonts w:ascii="Garamond" w:eastAsia="Times New Roman" w:hAnsi="Garamond" w:cs="Times New Roman"/>
          <w:color w:val="000000"/>
          <w:sz w:val="20"/>
          <w:szCs w:val="24"/>
        </w:rPr>
      </w:pPr>
    </w:p>
    <w:p w:rsidR="00E3240D" w:rsidRDefault="00E3240D" w:rsidP="00E3240D">
      <w:pPr>
        <w:spacing w:after="0" w:line="216" w:lineRule="auto"/>
        <w:textAlignment w:val="baseline"/>
        <w:rPr>
          <w:rFonts w:ascii="Garamond" w:eastAsia="Times New Roman" w:hAnsi="Garamond" w:cs="Times New Roman"/>
          <w:color w:val="000000"/>
          <w:sz w:val="24"/>
          <w:szCs w:val="24"/>
        </w:rPr>
      </w:pPr>
      <w:r w:rsidRPr="00E3240D">
        <w:rPr>
          <w:rFonts w:ascii="Garamond" w:eastAsia="Times New Roman" w:hAnsi="Garamond" w:cs="Times New Roman"/>
          <w:b/>
          <w:color w:val="000000"/>
          <w:sz w:val="24"/>
          <w:szCs w:val="24"/>
        </w:rPr>
        <w:t>EISCA is:</w:t>
      </w:r>
      <w:r>
        <w:rPr>
          <w:rFonts w:ascii="Garamond" w:eastAsia="Times New Roman" w:hAnsi="Garamond" w:cs="Times New Roman"/>
          <w:color w:val="000000"/>
          <w:sz w:val="24"/>
          <w:szCs w:val="24"/>
        </w:rPr>
        <w:t xml:space="preserve"> </w:t>
      </w:r>
    </w:p>
    <w:p w:rsidR="00E3240D" w:rsidRPr="00E3240D" w:rsidRDefault="00E3240D" w:rsidP="00E3240D">
      <w:pPr>
        <w:pStyle w:val="ListParagraph"/>
        <w:numPr>
          <w:ilvl w:val="0"/>
          <w:numId w:val="41"/>
        </w:numPr>
        <w:spacing w:after="0" w:line="240" w:lineRule="auto"/>
        <w:textAlignment w:val="baseline"/>
        <w:rPr>
          <w:rFonts w:ascii="Garamond" w:eastAsia="Times New Roman" w:hAnsi="Garamond" w:cs="Times New Roman"/>
          <w:b/>
          <w:color w:val="000000"/>
          <w:sz w:val="24"/>
          <w:szCs w:val="24"/>
        </w:rPr>
      </w:pPr>
      <w:r>
        <w:rPr>
          <w:rFonts w:ascii="Garamond" w:eastAsia="Times New Roman" w:hAnsi="Garamond" w:cs="Times New Roman"/>
          <w:color w:val="000000"/>
          <w:sz w:val="24"/>
          <w:szCs w:val="24"/>
        </w:rPr>
        <w:t xml:space="preserve">A set of assessment </w:t>
      </w:r>
      <w:r w:rsidRPr="00E3240D">
        <w:rPr>
          <w:rFonts w:ascii="Garamond" w:eastAsia="Times New Roman" w:hAnsi="Garamond" w:cs="Times New Roman"/>
          <w:color w:val="000000"/>
          <w:sz w:val="24"/>
          <w:szCs w:val="24"/>
        </w:rPr>
        <w:t>tool</w:t>
      </w:r>
      <w:r>
        <w:rPr>
          <w:rFonts w:ascii="Garamond" w:eastAsia="Times New Roman" w:hAnsi="Garamond" w:cs="Times New Roman"/>
          <w:color w:val="000000"/>
          <w:sz w:val="24"/>
          <w:szCs w:val="24"/>
        </w:rPr>
        <w:t>s</w:t>
      </w:r>
      <w:r w:rsidRPr="00E3240D">
        <w:rPr>
          <w:rFonts w:ascii="Garamond" w:eastAsia="Times New Roman" w:hAnsi="Garamond" w:cs="Times New Roman"/>
          <w:color w:val="000000"/>
          <w:sz w:val="24"/>
          <w:szCs w:val="24"/>
        </w:rPr>
        <w:t xml:space="preserve"> that can help examine data guided by the goals of Equity Literacy*</w:t>
      </w:r>
    </w:p>
    <w:p w:rsidR="00E3240D" w:rsidRPr="00E3240D" w:rsidRDefault="00E3240D" w:rsidP="00E3240D">
      <w:pPr>
        <w:pStyle w:val="ListParagraph"/>
        <w:numPr>
          <w:ilvl w:val="1"/>
          <w:numId w:val="30"/>
        </w:numPr>
        <w:spacing w:after="0" w:line="240" w:lineRule="auto"/>
        <w:rPr>
          <w:rFonts w:ascii="Garamond" w:eastAsia="Times New Roman" w:hAnsi="Garamond" w:cs="Times New Roman"/>
          <w:sz w:val="24"/>
          <w:szCs w:val="24"/>
        </w:rPr>
      </w:pPr>
      <w:r w:rsidRPr="00E3240D">
        <w:rPr>
          <w:rFonts w:ascii="Garamond" w:hAnsi="Garamond"/>
          <w:sz w:val="24"/>
          <w:szCs w:val="24"/>
        </w:rPr>
        <w:t>*Equity Literacy</w:t>
      </w:r>
      <w:r>
        <w:rPr>
          <w:rFonts w:ascii="Garamond" w:hAnsi="Garamond"/>
          <w:sz w:val="24"/>
          <w:szCs w:val="24"/>
        </w:rPr>
        <w:t>, as defined by Dr. Gorski,</w:t>
      </w:r>
      <w:r w:rsidRPr="00E3240D">
        <w:rPr>
          <w:rFonts w:ascii="Garamond" w:hAnsi="Garamond"/>
          <w:sz w:val="24"/>
          <w:szCs w:val="24"/>
        </w:rPr>
        <w:t xml:space="preserve"> refers to the knowledge and skills that enable us to </w:t>
      </w:r>
      <w:r w:rsidRPr="00E3240D">
        <w:rPr>
          <w:rFonts w:ascii="Garamond" w:hAnsi="Garamond"/>
          <w:i/>
          <w:sz w:val="24"/>
          <w:szCs w:val="24"/>
        </w:rPr>
        <w:t>recognize</w:t>
      </w:r>
      <w:r w:rsidRPr="00E3240D">
        <w:rPr>
          <w:rFonts w:ascii="Garamond" w:hAnsi="Garamond"/>
          <w:sz w:val="24"/>
          <w:szCs w:val="24"/>
        </w:rPr>
        <w:t xml:space="preserve">, </w:t>
      </w:r>
      <w:r w:rsidRPr="00E3240D">
        <w:rPr>
          <w:rFonts w:ascii="Garamond" w:hAnsi="Garamond"/>
          <w:i/>
          <w:sz w:val="24"/>
          <w:szCs w:val="24"/>
        </w:rPr>
        <w:t>respond</w:t>
      </w:r>
      <w:r w:rsidRPr="00E3240D">
        <w:rPr>
          <w:rFonts w:ascii="Garamond" w:hAnsi="Garamond"/>
          <w:sz w:val="24"/>
          <w:szCs w:val="24"/>
        </w:rPr>
        <w:t xml:space="preserve"> to, and </w:t>
      </w:r>
      <w:r w:rsidRPr="00E3240D">
        <w:rPr>
          <w:rFonts w:ascii="Garamond" w:hAnsi="Garamond"/>
          <w:i/>
          <w:sz w:val="24"/>
          <w:szCs w:val="24"/>
        </w:rPr>
        <w:t>redress</w:t>
      </w:r>
      <w:r w:rsidRPr="00E3240D">
        <w:rPr>
          <w:rFonts w:ascii="Garamond" w:hAnsi="Garamond"/>
          <w:sz w:val="24"/>
          <w:szCs w:val="24"/>
        </w:rPr>
        <w:t xml:space="preserve"> conditions that deny some students access to educational and other opportunities enjoyed by their peers. The Equity Literacy framework is based on the reality that equitable educators must be proficient, not just with culture, but with the skills necessary to be a threat to the existence of inequity in their spheres of influence. </w:t>
      </w:r>
    </w:p>
    <w:p w:rsidR="00E3240D" w:rsidRPr="00E3240D" w:rsidRDefault="00E3240D" w:rsidP="00E3240D">
      <w:pPr>
        <w:pStyle w:val="ListParagraph"/>
        <w:spacing w:after="0" w:line="240" w:lineRule="auto"/>
        <w:ind w:left="2160"/>
        <w:rPr>
          <w:rFonts w:ascii="Garamond" w:eastAsia="Times New Roman" w:hAnsi="Garamond" w:cs="Times New Roman"/>
          <w:sz w:val="18"/>
          <w:szCs w:val="24"/>
        </w:rPr>
      </w:pPr>
    </w:p>
    <w:tbl>
      <w:tblPr>
        <w:tblStyle w:val="TableGrid"/>
        <w:tblW w:w="0" w:type="auto"/>
        <w:tblInd w:w="75" w:type="dxa"/>
        <w:tblLook w:val="04A0" w:firstRow="1" w:lastRow="0" w:firstColumn="1" w:lastColumn="0" w:noHBand="0" w:noVBand="1"/>
      </w:tblPr>
      <w:tblGrid>
        <w:gridCol w:w="2070"/>
        <w:gridCol w:w="8010"/>
      </w:tblGrid>
      <w:tr w:rsidR="00E3240D" w:rsidTr="001A2FE7">
        <w:tc>
          <w:tcPr>
            <w:tcW w:w="10080" w:type="dxa"/>
            <w:gridSpan w:val="2"/>
            <w:tcBorders>
              <w:top w:val="single" w:sz="12" w:space="0" w:color="auto"/>
              <w:left w:val="single" w:sz="12" w:space="0" w:color="auto"/>
              <w:bottom w:val="single" w:sz="12" w:space="0" w:color="auto"/>
              <w:right w:val="single" w:sz="12" w:space="0" w:color="auto"/>
            </w:tcBorders>
          </w:tcPr>
          <w:p w:rsidR="00E3240D" w:rsidRPr="00E3240D" w:rsidRDefault="00E3240D" w:rsidP="00E3240D">
            <w:pPr>
              <w:spacing w:before="40" w:after="40"/>
              <w:jc w:val="center"/>
              <w:rPr>
                <w:rFonts w:ascii="Garamond" w:hAnsi="Garamond"/>
                <w:b/>
                <w:sz w:val="24"/>
              </w:rPr>
            </w:pPr>
            <w:r w:rsidRPr="00E3240D">
              <w:rPr>
                <w:rFonts w:ascii="Garamond" w:hAnsi="Garamond"/>
                <w:b/>
                <w:sz w:val="24"/>
              </w:rPr>
              <w:t>Equity Literacy Framework</w:t>
            </w:r>
            <w:r w:rsidRPr="00E3240D">
              <w:rPr>
                <w:rFonts w:ascii="Garamond" w:hAnsi="Garamond"/>
              </w:rPr>
              <w:t xml:space="preserve"> Paul C. Gorski for </w:t>
            </w:r>
            <w:proofErr w:type="spellStart"/>
            <w:r w:rsidRPr="00E3240D">
              <w:rPr>
                <w:rFonts w:ascii="Garamond" w:hAnsi="Garamond"/>
              </w:rPr>
              <w:t>EdChange</w:t>
            </w:r>
            <w:proofErr w:type="spellEnd"/>
          </w:p>
        </w:tc>
      </w:tr>
      <w:tr w:rsidR="00E3240D" w:rsidTr="001A2FE7">
        <w:tc>
          <w:tcPr>
            <w:tcW w:w="2070" w:type="dxa"/>
            <w:tcBorders>
              <w:top w:val="single" w:sz="12" w:space="0" w:color="auto"/>
            </w:tcBorders>
          </w:tcPr>
          <w:p w:rsidR="00E3240D" w:rsidRPr="00E3240D" w:rsidRDefault="00E3240D" w:rsidP="00E3240D">
            <w:pPr>
              <w:jc w:val="center"/>
              <w:rPr>
                <w:rFonts w:ascii="Garamond" w:eastAsia="Times New Roman" w:hAnsi="Garamond" w:cs="Times New Roman"/>
                <w:b/>
                <w:sz w:val="24"/>
                <w:szCs w:val="24"/>
              </w:rPr>
            </w:pPr>
            <w:r w:rsidRPr="00E3240D">
              <w:rPr>
                <w:rFonts w:ascii="Garamond" w:hAnsi="Garamond"/>
                <w:b/>
                <w:sz w:val="24"/>
              </w:rPr>
              <w:t>Equity Literacy Abilities</w:t>
            </w:r>
          </w:p>
        </w:tc>
        <w:tc>
          <w:tcPr>
            <w:tcW w:w="8010" w:type="dxa"/>
            <w:tcBorders>
              <w:top w:val="single" w:sz="12" w:space="0" w:color="auto"/>
            </w:tcBorders>
          </w:tcPr>
          <w:p w:rsidR="00E3240D" w:rsidRPr="00E3240D" w:rsidRDefault="00E3240D" w:rsidP="00E3240D">
            <w:pPr>
              <w:jc w:val="center"/>
              <w:rPr>
                <w:rFonts w:ascii="Garamond" w:hAnsi="Garamond"/>
                <w:b/>
                <w:sz w:val="24"/>
              </w:rPr>
            </w:pPr>
            <w:r w:rsidRPr="00E3240D">
              <w:rPr>
                <w:rFonts w:ascii="Garamond" w:hAnsi="Garamond"/>
                <w:b/>
                <w:sz w:val="24"/>
              </w:rPr>
              <w:t>Examples of Associated Skills and Dispositions</w:t>
            </w:r>
          </w:p>
          <w:p w:rsidR="00E3240D" w:rsidRPr="00E3240D" w:rsidRDefault="00E3240D" w:rsidP="00E3240D">
            <w:pPr>
              <w:jc w:val="center"/>
              <w:rPr>
                <w:rFonts w:ascii="Garamond" w:eastAsia="Times New Roman" w:hAnsi="Garamond" w:cs="Times New Roman"/>
                <w:b/>
                <w:sz w:val="24"/>
                <w:szCs w:val="24"/>
              </w:rPr>
            </w:pPr>
            <w:r w:rsidRPr="00E3240D">
              <w:rPr>
                <w:rFonts w:ascii="Garamond" w:hAnsi="Garamond"/>
                <w:sz w:val="24"/>
              </w:rPr>
              <w:t>Equity literate educators:</w:t>
            </w:r>
          </w:p>
        </w:tc>
      </w:tr>
      <w:tr w:rsidR="00E3240D" w:rsidTr="001A2FE7">
        <w:tc>
          <w:tcPr>
            <w:tcW w:w="2070" w:type="dxa"/>
            <w:vAlign w:val="center"/>
          </w:tcPr>
          <w:p w:rsidR="00E3240D" w:rsidRPr="00E3240D" w:rsidRDefault="00E3240D" w:rsidP="00E3240D">
            <w:pPr>
              <w:jc w:val="center"/>
              <w:rPr>
                <w:rFonts w:ascii="Garamond" w:hAnsi="Garamond"/>
                <w:b/>
                <w:sz w:val="24"/>
              </w:rPr>
            </w:pPr>
            <w:r w:rsidRPr="00E3240D">
              <w:rPr>
                <w:rFonts w:ascii="Garamond" w:hAnsi="Garamond"/>
                <w:b/>
                <w:sz w:val="24"/>
              </w:rPr>
              <w:t>Recognize</w:t>
            </w:r>
          </w:p>
          <w:p w:rsidR="00E3240D" w:rsidRPr="00E3240D" w:rsidRDefault="00E3240D" w:rsidP="00E3240D">
            <w:pPr>
              <w:jc w:val="center"/>
              <w:rPr>
                <w:rFonts w:ascii="Garamond" w:eastAsia="Times New Roman" w:hAnsi="Garamond" w:cs="Times New Roman"/>
                <w:sz w:val="24"/>
                <w:szCs w:val="24"/>
              </w:rPr>
            </w:pPr>
            <w:r w:rsidRPr="00E3240D">
              <w:rPr>
                <w:rFonts w:ascii="Garamond" w:hAnsi="Garamond"/>
                <w:sz w:val="24"/>
              </w:rPr>
              <w:t>biases and inequities, including subtle biases and inequities</w:t>
            </w:r>
          </w:p>
        </w:tc>
        <w:tc>
          <w:tcPr>
            <w:tcW w:w="8010" w:type="dxa"/>
          </w:tcPr>
          <w:p w:rsidR="00E3240D" w:rsidRPr="00E3240D" w:rsidRDefault="00E3240D" w:rsidP="00E3240D">
            <w:pPr>
              <w:pStyle w:val="ListParagraph"/>
              <w:numPr>
                <w:ilvl w:val="0"/>
                <w:numId w:val="35"/>
              </w:numPr>
              <w:ind w:left="346" w:hanging="274"/>
              <w:rPr>
                <w:rFonts w:ascii="Garamond" w:eastAsia="Times New Roman" w:hAnsi="Garamond" w:cs="Times New Roman"/>
                <w:sz w:val="24"/>
                <w:szCs w:val="24"/>
              </w:rPr>
            </w:pPr>
            <w:r w:rsidRPr="00E3240D">
              <w:rPr>
                <w:rFonts w:ascii="Garamond" w:hAnsi="Garamond"/>
                <w:sz w:val="24"/>
              </w:rPr>
              <w:t>Notice even subtle bias in materials, classroom inter</w:t>
            </w:r>
            <w:r>
              <w:rPr>
                <w:rFonts w:ascii="Garamond" w:hAnsi="Garamond"/>
                <w:sz w:val="24"/>
              </w:rPr>
              <w:t>actions, and school policies;</w:t>
            </w:r>
          </w:p>
          <w:p w:rsidR="00E3240D" w:rsidRPr="00E3240D" w:rsidRDefault="00E3240D" w:rsidP="00E3240D">
            <w:pPr>
              <w:pStyle w:val="ListParagraph"/>
              <w:numPr>
                <w:ilvl w:val="0"/>
                <w:numId w:val="35"/>
              </w:numPr>
              <w:ind w:left="346" w:hanging="274"/>
              <w:rPr>
                <w:rFonts w:ascii="Garamond" w:eastAsia="Times New Roman" w:hAnsi="Garamond" w:cs="Times New Roman"/>
                <w:sz w:val="24"/>
                <w:szCs w:val="24"/>
              </w:rPr>
            </w:pPr>
            <w:r>
              <w:rPr>
                <w:rFonts w:ascii="Garamond" w:hAnsi="Garamond"/>
                <w:sz w:val="24"/>
              </w:rPr>
              <w:t>K</w:t>
            </w:r>
            <w:r w:rsidRPr="00E3240D">
              <w:rPr>
                <w:rFonts w:ascii="Garamond" w:hAnsi="Garamond"/>
                <w:sz w:val="24"/>
              </w:rPr>
              <w:t>now and teach about how notable people in their content disciplines used their knowledge to advocate for just or unjust actions or policies; and</w:t>
            </w:r>
          </w:p>
          <w:p w:rsidR="00E3240D" w:rsidRPr="00E3240D" w:rsidRDefault="00E3240D" w:rsidP="00E3240D">
            <w:pPr>
              <w:pStyle w:val="ListParagraph"/>
              <w:numPr>
                <w:ilvl w:val="0"/>
                <w:numId w:val="35"/>
              </w:numPr>
              <w:ind w:left="346" w:hanging="274"/>
              <w:rPr>
                <w:rFonts w:ascii="Garamond" w:eastAsia="Times New Roman" w:hAnsi="Garamond" w:cs="Times New Roman"/>
                <w:sz w:val="24"/>
                <w:szCs w:val="24"/>
              </w:rPr>
            </w:pPr>
            <w:r>
              <w:rPr>
                <w:rFonts w:ascii="Garamond" w:hAnsi="Garamond"/>
                <w:sz w:val="24"/>
              </w:rPr>
              <w:t>R</w:t>
            </w:r>
            <w:r w:rsidRPr="00E3240D">
              <w:rPr>
                <w:rFonts w:ascii="Garamond" w:hAnsi="Garamond"/>
                <w:sz w:val="24"/>
              </w:rPr>
              <w:t>eject deficit views that locate the sources of outcome inequalities (like test score disparities) as existing within the cultures of, rather than as pressing upon, marginalized students</w:t>
            </w:r>
          </w:p>
        </w:tc>
      </w:tr>
      <w:tr w:rsidR="00E3240D" w:rsidTr="001A2FE7">
        <w:tc>
          <w:tcPr>
            <w:tcW w:w="2070" w:type="dxa"/>
            <w:vAlign w:val="center"/>
          </w:tcPr>
          <w:p w:rsidR="00E3240D" w:rsidRPr="00E3240D" w:rsidRDefault="00E3240D" w:rsidP="00E3240D">
            <w:pPr>
              <w:jc w:val="center"/>
              <w:rPr>
                <w:rFonts w:ascii="Garamond" w:hAnsi="Garamond"/>
                <w:sz w:val="24"/>
              </w:rPr>
            </w:pPr>
            <w:r w:rsidRPr="00E3240D">
              <w:rPr>
                <w:rFonts w:ascii="Garamond" w:hAnsi="Garamond"/>
                <w:b/>
                <w:sz w:val="24"/>
              </w:rPr>
              <w:t>Respond</w:t>
            </w:r>
          </w:p>
          <w:p w:rsidR="00E3240D" w:rsidRPr="00E3240D" w:rsidRDefault="00E3240D" w:rsidP="00E3240D">
            <w:pPr>
              <w:jc w:val="center"/>
              <w:rPr>
                <w:rFonts w:ascii="Garamond" w:eastAsia="Times New Roman" w:hAnsi="Garamond" w:cs="Times New Roman"/>
                <w:sz w:val="24"/>
                <w:szCs w:val="24"/>
              </w:rPr>
            </w:pPr>
            <w:r w:rsidRPr="00E3240D">
              <w:rPr>
                <w:rFonts w:ascii="Garamond" w:hAnsi="Garamond"/>
                <w:sz w:val="24"/>
              </w:rPr>
              <w:t>to biases and inequities in the immediate term</w:t>
            </w:r>
          </w:p>
        </w:tc>
        <w:tc>
          <w:tcPr>
            <w:tcW w:w="8010" w:type="dxa"/>
          </w:tcPr>
          <w:p w:rsidR="00E3240D" w:rsidRPr="00E3240D" w:rsidRDefault="00E3240D" w:rsidP="00E3240D">
            <w:pPr>
              <w:pStyle w:val="ListParagraph"/>
              <w:numPr>
                <w:ilvl w:val="0"/>
                <w:numId w:val="36"/>
              </w:numPr>
              <w:ind w:left="346" w:hanging="274"/>
              <w:rPr>
                <w:rFonts w:ascii="Garamond" w:eastAsia="Times New Roman" w:hAnsi="Garamond" w:cs="Times New Roman"/>
                <w:sz w:val="24"/>
                <w:szCs w:val="24"/>
              </w:rPr>
            </w:pPr>
            <w:r>
              <w:rPr>
                <w:rFonts w:ascii="Garamond" w:hAnsi="Garamond"/>
                <w:sz w:val="24"/>
              </w:rPr>
              <w:t>H</w:t>
            </w:r>
            <w:r w:rsidRPr="00E3240D">
              <w:rPr>
                <w:rFonts w:ascii="Garamond" w:hAnsi="Garamond"/>
                <w:sz w:val="24"/>
              </w:rPr>
              <w:t>ave the facilitation skills and content knowledge necessary to intervene effectively when biases or inequities arise in a classroom or school;</w:t>
            </w:r>
          </w:p>
          <w:p w:rsidR="00E3240D" w:rsidRPr="00E3240D" w:rsidRDefault="00E3240D" w:rsidP="00E3240D">
            <w:pPr>
              <w:pStyle w:val="ListParagraph"/>
              <w:numPr>
                <w:ilvl w:val="0"/>
                <w:numId w:val="36"/>
              </w:numPr>
              <w:ind w:left="346" w:hanging="274"/>
              <w:rPr>
                <w:rFonts w:ascii="Garamond" w:eastAsia="Times New Roman" w:hAnsi="Garamond" w:cs="Times New Roman"/>
                <w:sz w:val="24"/>
                <w:szCs w:val="24"/>
              </w:rPr>
            </w:pPr>
            <w:r>
              <w:rPr>
                <w:rFonts w:ascii="Garamond" w:hAnsi="Garamond"/>
                <w:sz w:val="24"/>
              </w:rPr>
              <w:t>C</w:t>
            </w:r>
            <w:r w:rsidRPr="00E3240D">
              <w:rPr>
                <w:rFonts w:ascii="Garamond" w:hAnsi="Garamond"/>
                <w:sz w:val="24"/>
              </w:rPr>
              <w:t>ultivate in students the ability to analyze bias in classroom materials, classroom interactions, and school policies; and</w:t>
            </w:r>
          </w:p>
          <w:p w:rsidR="00E3240D" w:rsidRPr="00E3240D" w:rsidRDefault="00E3240D" w:rsidP="00E3240D">
            <w:pPr>
              <w:pStyle w:val="ListParagraph"/>
              <w:numPr>
                <w:ilvl w:val="0"/>
                <w:numId w:val="36"/>
              </w:numPr>
              <w:ind w:left="346" w:hanging="274"/>
              <w:rPr>
                <w:rFonts w:ascii="Garamond" w:eastAsia="Times New Roman" w:hAnsi="Garamond" w:cs="Times New Roman"/>
                <w:sz w:val="24"/>
                <w:szCs w:val="24"/>
              </w:rPr>
            </w:pPr>
            <w:r>
              <w:rPr>
                <w:rFonts w:ascii="Garamond" w:hAnsi="Garamond"/>
                <w:sz w:val="24"/>
              </w:rPr>
              <w:t>F</w:t>
            </w:r>
            <w:r w:rsidRPr="00E3240D">
              <w:rPr>
                <w:rFonts w:ascii="Garamond" w:hAnsi="Garamond"/>
                <w:sz w:val="24"/>
              </w:rPr>
              <w:t>oster conversations with colleagues about equity concerns at their schools.</w:t>
            </w:r>
          </w:p>
        </w:tc>
      </w:tr>
      <w:tr w:rsidR="00E3240D" w:rsidTr="001A2FE7">
        <w:tc>
          <w:tcPr>
            <w:tcW w:w="2070" w:type="dxa"/>
            <w:vAlign w:val="center"/>
          </w:tcPr>
          <w:p w:rsidR="00E3240D" w:rsidRPr="00E3240D" w:rsidRDefault="00E3240D" w:rsidP="00E3240D">
            <w:pPr>
              <w:jc w:val="center"/>
              <w:rPr>
                <w:rFonts w:ascii="Garamond" w:hAnsi="Garamond"/>
                <w:b/>
                <w:sz w:val="24"/>
              </w:rPr>
            </w:pPr>
            <w:r w:rsidRPr="00E3240D">
              <w:rPr>
                <w:rFonts w:ascii="Garamond" w:hAnsi="Garamond"/>
                <w:b/>
                <w:sz w:val="24"/>
              </w:rPr>
              <w:t>Redress</w:t>
            </w:r>
          </w:p>
          <w:p w:rsidR="00E3240D" w:rsidRPr="00E3240D" w:rsidRDefault="00E3240D" w:rsidP="00E3240D">
            <w:pPr>
              <w:jc w:val="center"/>
              <w:rPr>
                <w:rFonts w:ascii="Garamond" w:eastAsia="Times New Roman" w:hAnsi="Garamond" w:cs="Times New Roman"/>
                <w:sz w:val="24"/>
                <w:szCs w:val="24"/>
              </w:rPr>
            </w:pPr>
            <w:r w:rsidRPr="00E3240D">
              <w:rPr>
                <w:rFonts w:ascii="Garamond" w:hAnsi="Garamond"/>
                <w:sz w:val="24"/>
              </w:rPr>
              <w:t>biases and inequities in the long term</w:t>
            </w:r>
          </w:p>
        </w:tc>
        <w:tc>
          <w:tcPr>
            <w:tcW w:w="8010" w:type="dxa"/>
          </w:tcPr>
          <w:p w:rsidR="00E3240D" w:rsidRPr="00E3240D" w:rsidRDefault="00E3240D" w:rsidP="00E3240D">
            <w:pPr>
              <w:pStyle w:val="ListParagraph"/>
              <w:numPr>
                <w:ilvl w:val="0"/>
                <w:numId w:val="37"/>
              </w:numPr>
              <w:ind w:left="346" w:hanging="274"/>
              <w:rPr>
                <w:rFonts w:ascii="Garamond" w:eastAsia="Times New Roman" w:hAnsi="Garamond" w:cs="Times New Roman"/>
                <w:sz w:val="24"/>
                <w:szCs w:val="24"/>
              </w:rPr>
            </w:pPr>
            <w:r>
              <w:rPr>
                <w:rFonts w:ascii="Garamond" w:hAnsi="Garamond"/>
                <w:sz w:val="24"/>
              </w:rPr>
              <w:t>A</w:t>
            </w:r>
            <w:r w:rsidRPr="00E3240D">
              <w:rPr>
                <w:rFonts w:ascii="Garamond" w:hAnsi="Garamond"/>
                <w:sz w:val="24"/>
              </w:rPr>
              <w:t>dvocate against inequitable school practices, such as racially or economically biased tracking, and advocate for equitable school practices;</w:t>
            </w:r>
          </w:p>
          <w:p w:rsidR="00E3240D" w:rsidRPr="00E3240D" w:rsidRDefault="00E3240D" w:rsidP="00E3240D">
            <w:pPr>
              <w:pStyle w:val="ListParagraph"/>
              <w:numPr>
                <w:ilvl w:val="0"/>
                <w:numId w:val="37"/>
              </w:numPr>
              <w:ind w:left="346" w:hanging="274"/>
              <w:rPr>
                <w:rFonts w:ascii="Garamond" w:eastAsia="Times New Roman" w:hAnsi="Garamond" w:cs="Times New Roman"/>
                <w:sz w:val="24"/>
                <w:szCs w:val="24"/>
              </w:rPr>
            </w:pPr>
            <w:r>
              <w:rPr>
                <w:rFonts w:ascii="Garamond" w:hAnsi="Garamond"/>
                <w:sz w:val="24"/>
              </w:rPr>
              <w:t>N</w:t>
            </w:r>
            <w:r w:rsidRPr="00E3240D">
              <w:rPr>
                <w:rFonts w:ascii="Garamond" w:hAnsi="Garamond"/>
                <w:sz w:val="24"/>
              </w:rPr>
              <w:t>ever confuse celebrating diversity with equity, such as by responding to racial conflict with cultural celebrations; and</w:t>
            </w:r>
          </w:p>
          <w:p w:rsidR="00E3240D" w:rsidRPr="00E3240D" w:rsidRDefault="00E3240D" w:rsidP="00E3240D">
            <w:pPr>
              <w:pStyle w:val="ListParagraph"/>
              <w:numPr>
                <w:ilvl w:val="0"/>
                <w:numId w:val="37"/>
              </w:numPr>
              <w:ind w:left="346" w:hanging="274"/>
              <w:rPr>
                <w:rFonts w:ascii="Garamond" w:eastAsia="Times New Roman" w:hAnsi="Garamond" w:cs="Times New Roman"/>
                <w:sz w:val="24"/>
                <w:szCs w:val="24"/>
              </w:rPr>
            </w:pPr>
            <w:r>
              <w:rPr>
                <w:rFonts w:ascii="Garamond" w:hAnsi="Garamond"/>
                <w:sz w:val="24"/>
              </w:rPr>
              <w:t>T</w:t>
            </w:r>
            <w:r w:rsidRPr="00E3240D">
              <w:rPr>
                <w:rFonts w:ascii="Garamond" w:hAnsi="Garamond"/>
                <w:sz w:val="24"/>
              </w:rPr>
              <w:t>each, in relevant and age-appropriate ways, about issues like sexism, poverty, and homophobia.</w:t>
            </w:r>
          </w:p>
        </w:tc>
      </w:tr>
      <w:tr w:rsidR="00E3240D" w:rsidTr="001A2FE7">
        <w:trPr>
          <w:trHeight w:val="1205"/>
        </w:trPr>
        <w:tc>
          <w:tcPr>
            <w:tcW w:w="2070" w:type="dxa"/>
            <w:vAlign w:val="center"/>
          </w:tcPr>
          <w:p w:rsidR="00E3240D" w:rsidRDefault="00E3240D" w:rsidP="00E3240D">
            <w:pPr>
              <w:jc w:val="center"/>
              <w:rPr>
                <w:rFonts w:ascii="Garamond" w:hAnsi="Garamond"/>
                <w:sz w:val="24"/>
              </w:rPr>
            </w:pPr>
            <w:r w:rsidRPr="00E3240D">
              <w:rPr>
                <w:rFonts w:ascii="Garamond" w:hAnsi="Garamond"/>
                <w:b/>
                <w:sz w:val="24"/>
              </w:rPr>
              <w:t>Create</w:t>
            </w:r>
            <w:r w:rsidRPr="00E3240D">
              <w:rPr>
                <w:rFonts w:ascii="Garamond" w:hAnsi="Garamond"/>
                <w:sz w:val="24"/>
              </w:rPr>
              <w:t xml:space="preserve"> &amp; </w:t>
            </w:r>
            <w:r w:rsidRPr="00E3240D">
              <w:rPr>
                <w:rFonts w:ascii="Garamond" w:hAnsi="Garamond"/>
                <w:b/>
                <w:sz w:val="24"/>
              </w:rPr>
              <w:t>Sustain</w:t>
            </w:r>
          </w:p>
          <w:p w:rsidR="00E3240D" w:rsidRPr="00E3240D" w:rsidRDefault="00E3240D" w:rsidP="00E3240D">
            <w:pPr>
              <w:jc w:val="center"/>
              <w:rPr>
                <w:rFonts w:ascii="Garamond" w:hAnsi="Garamond"/>
                <w:sz w:val="24"/>
              </w:rPr>
            </w:pPr>
            <w:r w:rsidRPr="00E3240D">
              <w:rPr>
                <w:rFonts w:ascii="Garamond" w:hAnsi="Garamond"/>
                <w:sz w:val="24"/>
              </w:rPr>
              <w:t>a bias-free and equitable learning environment</w:t>
            </w:r>
          </w:p>
        </w:tc>
        <w:tc>
          <w:tcPr>
            <w:tcW w:w="8010" w:type="dxa"/>
          </w:tcPr>
          <w:p w:rsidR="00E3240D" w:rsidRPr="00E3240D" w:rsidRDefault="00E3240D" w:rsidP="00E3240D">
            <w:pPr>
              <w:pStyle w:val="ListParagraph"/>
              <w:numPr>
                <w:ilvl w:val="0"/>
                <w:numId w:val="38"/>
              </w:numPr>
              <w:ind w:left="346" w:hanging="274"/>
              <w:rPr>
                <w:rFonts w:ascii="Garamond" w:eastAsia="Times New Roman" w:hAnsi="Garamond" w:cs="Times New Roman"/>
                <w:sz w:val="24"/>
                <w:szCs w:val="24"/>
              </w:rPr>
            </w:pPr>
            <w:r>
              <w:rPr>
                <w:rFonts w:ascii="Garamond" w:hAnsi="Garamond"/>
                <w:sz w:val="24"/>
              </w:rPr>
              <w:t>Express</w:t>
            </w:r>
            <w:r w:rsidRPr="00E3240D">
              <w:rPr>
                <w:rFonts w:ascii="Garamond" w:hAnsi="Garamond"/>
                <w:sz w:val="24"/>
              </w:rPr>
              <w:t xml:space="preserve"> high expectations for all students through higher-order pedagogies and curricula;</w:t>
            </w:r>
          </w:p>
          <w:p w:rsidR="00E3240D" w:rsidRPr="00E3240D" w:rsidRDefault="00E3240D" w:rsidP="00E3240D">
            <w:pPr>
              <w:pStyle w:val="ListParagraph"/>
              <w:numPr>
                <w:ilvl w:val="0"/>
                <w:numId w:val="38"/>
              </w:numPr>
              <w:ind w:left="346" w:hanging="274"/>
              <w:rPr>
                <w:rFonts w:ascii="Garamond" w:eastAsia="Times New Roman" w:hAnsi="Garamond" w:cs="Times New Roman"/>
                <w:sz w:val="24"/>
                <w:szCs w:val="24"/>
              </w:rPr>
            </w:pPr>
            <w:r>
              <w:rPr>
                <w:rFonts w:ascii="Garamond" w:hAnsi="Garamond"/>
                <w:sz w:val="24"/>
              </w:rPr>
              <w:t>C</w:t>
            </w:r>
            <w:r w:rsidRPr="00E3240D">
              <w:rPr>
                <w:rFonts w:ascii="Garamond" w:hAnsi="Garamond"/>
                <w:sz w:val="24"/>
              </w:rPr>
              <w:t>onsider how they assign homework and communicate with families, understanding that students have different levels of access to resources like computers and the Internet; and</w:t>
            </w:r>
          </w:p>
          <w:p w:rsidR="00E3240D" w:rsidRPr="00E3240D" w:rsidRDefault="00E3240D" w:rsidP="00E3240D">
            <w:pPr>
              <w:pStyle w:val="ListParagraph"/>
              <w:numPr>
                <w:ilvl w:val="0"/>
                <w:numId w:val="38"/>
              </w:numPr>
              <w:ind w:left="346" w:hanging="274"/>
              <w:rPr>
                <w:rFonts w:ascii="Garamond" w:eastAsia="Times New Roman" w:hAnsi="Garamond" w:cs="Times New Roman"/>
                <w:sz w:val="24"/>
                <w:szCs w:val="24"/>
              </w:rPr>
            </w:pPr>
            <w:r>
              <w:rPr>
                <w:rFonts w:ascii="Garamond" w:hAnsi="Garamond"/>
                <w:sz w:val="24"/>
              </w:rPr>
              <w:t>C</w:t>
            </w:r>
            <w:r w:rsidRPr="00E3240D">
              <w:rPr>
                <w:rFonts w:ascii="Garamond" w:hAnsi="Garamond"/>
                <w:sz w:val="24"/>
              </w:rPr>
              <w:t>ultivate a classroom environment in which students feel free to express themselves openly and honestly.</w:t>
            </w:r>
          </w:p>
        </w:tc>
      </w:tr>
    </w:tbl>
    <w:p w:rsidR="00E3240D" w:rsidRPr="00E3240D" w:rsidRDefault="00E3240D" w:rsidP="00E3240D">
      <w:pPr>
        <w:spacing w:after="0" w:line="240" w:lineRule="auto"/>
        <w:rPr>
          <w:rFonts w:ascii="Garamond" w:eastAsia="Times New Roman" w:hAnsi="Garamond" w:cs="Times New Roman"/>
          <w:sz w:val="2"/>
          <w:szCs w:val="24"/>
        </w:rPr>
      </w:pPr>
    </w:p>
    <w:sectPr w:rsidR="00E3240D" w:rsidRPr="00E3240D" w:rsidSect="00E3240D">
      <w:headerReference w:type="even" r:id="rId10"/>
      <w:headerReference w:type="default" r:id="rId11"/>
      <w:footerReference w:type="even" r:id="rId12"/>
      <w:footerReference w:type="default" r:id="rId13"/>
      <w:pgSz w:w="12240" w:h="15840"/>
      <w:pgMar w:top="1008" w:right="1008" w:bottom="270"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49F" w:rsidRDefault="00A6649F" w:rsidP="00AD1FC1">
      <w:pPr>
        <w:spacing w:after="0" w:line="240" w:lineRule="auto"/>
      </w:pPr>
      <w:r>
        <w:separator/>
      </w:r>
    </w:p>
  </w:endnote>
  <w:endnote w:type="continuationSeparator" w:id="0">
    <w:p w:rsidR="00A6649F" w:rsidRDefault="00A6649F" w:rsidP="00AD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0D" w:rsidRDefault="00E3240D">
    <w:pPr>
      <w:pStyle w:val="Footer"/>
    </w:pPr>
    <w:r>
      <w:rPr>
        <w:noProof/>
      </w:rPr>
      <w:drawing>
        <wp:anchor distT="0" distB="0" distL="114300" distR="114300" simplePos="0" relativeHeight="251660288" behindDoc="0" locked="0" layoutInCell="1" allowOverlap="1" wp14:anchorId="3FAF690E" wp14:editId="475E2796">
          <wp:simplePos x="0" y="0"/>
          <wp:positionH relativeFrom="column">
            <wp:posOffset>5832475</wp:posOffset>
          </wp:positionH>
          <wp:positionV relativeFrom="paragraph">
            <wp:posOffset>-1270</wp:posOffset>
          </wp:positionV>
          <wp:extent cx="646430" cy="274320"/>
          <wp:effectExtent l="0" t="0" r="127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ify.jpg"/>
                  <pic:cNvPicPr/>
                </pic:nvPicPr>
                <pic:blipFill>
                  <a:blip r:embed="rId1">
                    <a:extLst>
                      <a:ext uri="{28A0092B-C50C-407E-A947-70E740481C1C}">
                        <a14:useLocalDpi xmlns:a14="http://schemas.microsoft.com/office/drawing/2010/main" val="0"/>
                      </a:ext>
                    </a:extLst>
                  </a:blip>
                  <a:stretch>
                    <a:fillRect/>
                  </a:stretch>
                </pic:blipFill>
                <pic:spPr>
                  <a:xfrm>
                    <a:off x="0" y="0"/>
                    <a:ext cx="646430" cy="27432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23" w:rsidRDefault="00E3240D" w:rsidP="00E3240D">
    <w:pPr>
      <w:pStyle w:val="Footer"/>
    </w:pPr>
    <w:r>
      <w:rPr>
        <w:noProof/>
      </w:rPr>
      <w:drawing>
        <wp:anchor distT="0" distB="0" distL="114300" distR="114300" simplePos="0" relativeHeight="251658240" behindDoc="0" locked="0" layoutInCell="1" allowOverlap="1">
          <wp:simplePos x="0" y="0"/>
          <wp:positionH relativeFrom="column">
            <wp:posOffset>5834380</wp:posOffset>
          </wp:positionH>
          <wp:positionV relativeFrom="paragraph">
            <wp:posOffset>-63664</wp:posOffset>
          </wp:positionV>
          <wp:extent cx="646430" cy="274320"/>
          <wp:effectExtent l="0" t="0" r="127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ify.jpg"/>
                  <pic:cNvPicPr/>
                </pic:nvPicPr>
                <pic:blipFill>
                  <a:blip r:embed="rId1">
                    <a:extLst>
                      <a:ext uri="{28A0092B-C50C-407E-A947-70E740481C1C}">
                        <a14:useLocalDpi xmlns:a14="http://schemas.microsoft.com/office/drawing/2010/main" val="0"/>
                      </a:ext>
                    </a:extLst>
                  </a:blip>
                  <a:stretch>
                    <a:fillRect/>
                  </a:stretch>
                </pic:blipFill>
                <pic:spPr>
                  <a:xfrm>
                    <a:off x="0" y="0"/>
                    <a:ext cx="646430" cy="274320"/>
                  </a:xfrm>
                  <a:prstGeom prst="rect">
                    <a:avLst/>
                  </a:prstGeom>
                </pic:spPr>
              </pic:pic>
            </a:graphicData>
          </a:graphic>
        </wp:anchor>
      </w:drawing>
    </w:r>
    <w:r>
      <w:rPr>
        <w:rFonts w:ascii="Garamond" w:hAnsi="Garamond"/>
        <w:sz w:val="24"/>
      </w:rPr>
      <w:t xml:space="preserve">          </w:t>
    </w:r>
    <w:r w:rsidRPr="00E3240D">
      <w:rPr>
        <w:rFonts w:ascii="Garamond" w:hAnsi="Garamond"/>
        <w:sz w:val="24"/>
      </w:rPr>
      <w:t xml:space="preserve">For more information please contact: </w:t>
    </w:r>
    <w:hyperlink r:id="rId2" w:history="1">
      <w:r w:rsidRPr="00E3240D">
        <w:rPr>
          <w:rStyle w:val="Hyperlink"/>
          <w:rFonts w:ascii="Garamond" w:hAnsi="Garamond"/>
          <w:sz w:val="24"/>
        </w:rPr>
        <w:t>info@discoveringdiversity.com</w:t>
      </w:r>
    </w:hyperlink>
    <w:r w:rsidRPr="00E3240D">
      <w:rPr>
        <w:rFonts w:ascii="Garamond" w:hAnsi="Garamond"/>
        <w:sz w:val="24"/>
      </w:rPr>
      <w:t xml:space="preserve"> </w:t>
    </w:r>
    <w:r>
      <w:rPr>
        <w:rFonts w:ascii="Garamond" w:hAnsi="Garamond"/>
        <w:sz w:val="24"/>
      </w:rPr>
      <w:t xml:space="preserve">or 860.284.9489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49F" w:rsidRDefault="00A6649F" w:rsidP="00AD1FC1">
      <w:pPr>
        <w:spacing w:after="0" w:line="240" w:lineRule="auto"/>
      </w:pPr>
      <w:bookmarkStart w:id="0" w:name="_Hlk482113335"/>
      <w:bookmarkEnd w:id="0"/>
      <w:r>
        <w:separator/>
      </w:r>
    </w:p>
  </w:footnote>
  <w:footnote w:type="continuationSeparator" w:id="0">
    <w:p w:rsidR="00A6649F" w:rsidRDefault="00A6649F" w:rsidP="00AD1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0D" w:rsidRDefault="00E3240D" w:rsidP="00E3240D">
    <w:pPr>
      <w:pStyle w:val="Header"/>
      <w:tabs>
        <w:tab w:val="clear" w:pos="4680"/>
        <w:tab w:val="clear" w:pos="9360"/>
        <w:tab w:val="left" w:pos="4104"/>
      </w:tabs>
      <w:jc w:val="center"/>
    </w:pPr>
    <w:r>
      <w:rPr>
        <w:noProof/>
      </w:rPr>
      <w:drawing>
        <wp:inline distT="0" distB="0" distL="0" distR="0" wp14:anchorId="4359559C" wp14:editId="55361D4F">
          <wp:extent cx="2776310" cy="731520"/>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776310" cy="7315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23" w:rsidRDefault="004D6E23" w:rsidP="00AD1FC1">
    <w:pPr>
      <w:pStyle w:val="Header"/>
      <w:jc w:val="center"/>
    </w:pPr>
    <w:r>
      <w:rPr>
        <w:noProof/>
      </w:rPr>
      <w:drawing>
        <wp:inline distT="0" distB="0" distL="0" distR="0">
          <wp:extent cx="2776310" cy="731520"/>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776310"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D3F"/>
    <w:multiLevelType w:val="hybridMultilevel"/>
    <w:tmpl w:val="BBC86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662"/>
    <w:multiLevelType w:val="multilevel"/>
    <w:tmpl w:val="F78C5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406CE"/>
    <w:multiLevelType w:val="hybridMultilevel"/>
    <w:tmpl w:val="9E92E1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72C09"/>
    <w:multiLevelType w:val="hybridMultilevel"/>
    <w:tmpl w:val="000418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64A2D"/>
    <w:multiLevelType w:val="hybridMultilevel"/>
    <w:tmpl w:val="D40C5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B6FB4"/>
    <w:multiLevelType w:val="hybridMultilevel"/>
    <w:tmpl w:val="1416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026CA"/>
    <w:multiLevelType w:val="hybridMultilevel"/>
    <w:tmpl w:val="ACBC3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44C93"/>
    <w:multiLevelType w:val="hybridMultilevel"/>
    <w:tmpl w:val="AFDAAA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21E12"/>
    <w:multiLevelType w:val="hybridMultilevel"/>
    <w:tmpl w:val="AA2A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527C5"/>
    <w:multiLevelType w:val="multilevel"/>
    <w:tmpl w:val="EB28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ED0BA7"/>
    <w:multiLevelType w:val="multilevel"/>
    <w:tmpl w:val="60647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511237"/>
    <w:multiLevelType w:val="hybridMultilevel"/>
    <w:tmpl w:val="D78C9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E3E6C"/>
    <w:multiLevelType w:val="multilevel"/>
    <w:tmpl w:val="D33E88A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C0ACB"/>
    <w:multiLevelType w:val="hybridMultilevel"/>
    <w:tmpl w:val="B356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24B17"/>
    <w:multiLevelType w:val="multilevel"/>
    <w:tmpl w:val="EA2AF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E31446"/>
    <w:multiLevelType w:val="hybridMultilevel"/>
    <w:tmpl w:val="3CBA37E0"/>
    <w:lvl w:ilvl="0" w:tplc="F9A23DE2">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F6755"/>
    <w:multiLevelType w:val="hybridMultilevel"/>
    <w:tmpl w:val="F8C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A5395"/>
    <w:multiLevelType w:val="hybridMultilevel"/>
    <w:tmpl w:val="E014E606"/>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A4AC4"/>
    <w:multiLevelType w:val="hybridMultilevel"/>
    <w:tmpl w:val="302A32DA"/>
    <w:lvl w:ilvl="0" w:tplc="D4C069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C36BE"/>
    <w:multiLevelType w:val="hybridMultilevel"/>
    <w:tmpl w:val="880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A065F"/>
    <w:multiLevelType w:val="hybridMultilevel"/>
    <w:tmpl w:val="59AE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F5978"/>
    <w:multiLevelType w:val="multilevel"/>
    <w:tmpl w:val="16ECE2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33E71DF"/>
    <w:multiLevelType w:val="multilevel"/>
    <w:tmpl w:val="9CC4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9C01134"/>
    <w:multiLevelType w:val="hybridMultilevel"/>
    <w:tmpl w:val="36AE1D18"/>
    <w:lvl w:ilvl="0" w:tplc="D4C069E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433C6"/>
    <w:multiLevelType w:val="hybridMultilevel"/>
    <w:tmpl w:val="DBFCCE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84998"/>
    <w:multiLevelType w:val="hybridMultilevel"/>
    <w:tmpl w:val="44E2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E65C7"/>
    <w:multiLevelType w:val="hybridMultilevel"/>
    <w:tmpl w:val="AE2C55F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02788"/>
    <w:multiLevelType w:val="multilevel"/>
    <w:tmpl w:val="703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FB4D74"/>
    <w:multiLevelType w:val="hybridMultilevel"/>
    <w:tmpl w:val="6446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037699"/>
    <w:multiLevelType w:val="hybridMultilevel"/>
    <w:tmpl w:val="34B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84B82"/>
    <w:multiLevelType w:val="hybridMultilevel"/>
    <w:tmpl w:val="88F0F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B60852"/>
    <w:multiLevelType w:val="multilevel"/>
    <w:tmpl w:val="DEB4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D120F4"/>
    <w:multiLevelType w:val="hybridMultilevel"/>
    <w:tmpl w:val="F642E6AC"/>
    <w:lvl w:ilvl="0" w:tplc="D4C069E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048E7"/>
    <w:multiLevelType w:val="multilevel"/>
    <w:tmpl w:val="10A61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BE4BCF"/>
    <w:multiLevelType w:val="hybridMultilevel"/>
    <w:tmpl w:val="0F0A62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966135E">
      <w:start w:val="5"/>
      <w:numFmt w:val="bullet"/>
      <w:lvlText w:val="-"/>
      <w:lvlJc w:val="left"/>
      <w:pPr>
        <w:ind w:left="2880" w:hanging="360"/>
      </w:pPr>
      <w:rPr>
        <w:rFonts w:ascii="Garamond" w:eastAsia="Times New Roman" w:hAnsi="Garamond" w:cs="Times New Roman" w:hint="default"/>
        <w:color w:val="00000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13FCF"/>
    <w:multiLevelType w:val="hybridMultilevel"/>
    <w:tmpl w:val="40B0EF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BD4E43"/>
    <w:multiLevelType w:val="hybridMultilevel"/>
    <w:tmpl w:val="4FBC67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276B94"/>
    <w:multiLevelType w:val="hybridMultilevel"/>
    <w:tmpl w:val="BCD006E4"/>
    <w:lvl w:ilvl="0" w:tplc="D4C069E2">
      <w:start w:val="1"/>
      <w:numFmt w:val="decimal"/>
      <w:lvlText w:val="%1."/>
      <w:lvlJc w:val="left"/>
      <w:pPr>
        <w:ind w:left="720" w:hanging="360"/>
      </w:pPr>
      <w:rPr>
        <w:rFonts w:hint="default"/>
        <w:b w:val="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30F11"/>
    <w:multiLevelType w:val="hybridMultilevel"/>
    <w:tmpl w:val="C81E9F74"/>
    <w:lvl w:ilvl="0" w:tplc="0409000B">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lvlOverride w:ilvl="0">
      <w:startOverride w:val="1"/>
    </w:lvlOverride>
  </w:num>
  <w:num w:numId="3">
    <w:abstractNumId w:val="14"/>
    <w:lvlOverride w:ilvl="0"/>
    <w:lvlOverride w:ilvl="1">
      <w:startOverride w:val="1"/>
    </w:lvlOverride>
  </w:num>
  <w:num w:numId="4">
    <w:abstractNumId w:val="14"/>
    <w:lvlOverride w:ilvl="0"/>
    <w:lvlOverride w:ilvl="1"/>
    <w:lvlOverride w:ilvl="2">
      <w:startOverride w:val="1"/>
    </w:lvlOverride>
  </w:num>
  <w:num w:numId="5">
    <w:abstractNumId w:val="22"/>
    <w:lvlOverride w:ilvl="0">
      <w:startOverride w:val="1"/>
    </w:lvlOverride>
  </w:num>
  <w:num w:numId="6">
    <w:abstractNumId w:val="33"/>
    <w:lvlOverride w:ilvl="0">
      <w:startOverride w:val="1"/>
    </w:lvlOverride>
  </w:num>
  <w:num w:numId="7">
    <w:abstractNumId w:val="9"/>
    <w:lvlOverride w:ilvl="0">
      <w:startOverride w:val="1"/>
    </w:lvlOverride>
  </w:num>
  <w:num w:numId="8">
    <w:abstractNumId w:val="10"/>
    <w:lvlOverride w:ilvl="0">
      <w:startOverride w:val="2"/>
    </w:lvlOverride>
  </w:num>
  <w:num w:numId="9">
    <w:abstractNumId w:val="1"/>
    <w:lvlOverride w:ilvl="0">
      <w:startOverride w:val="3"/>
    </w:lvlOverride>
  </w:num>
  <w:num w:numId="10">
    <w:abstractNumId w:val="6"/>
  </w:num>
  <w:num w:numId="11">
    <w:abstractNumId w:val="25"/>
  </w:num>
  <w:num w:numId="12">
    <w:abstractNumId w:val="28"/>
  </w:num>
  <w:num w:numId="13">
    <w:abstractNumId w:val="16"/>
  </w:num>
  <w:num w:numId="14">
    <w:abstractNumId w:val="37"/>
  </w:num>
  <w:num w:numId="15">
    <w:abstractNumId w:val="21"/>
  </w:num>
  <w:num w:numId="16">
    <w:abstractNumId w:val="3"/>
  </w:num>
  <w:num w:numId="17">
    <w:abstractNumId w:val="36"/>
  </w:num>
  <w:num w:numId="18">
    <w:abstractNumId w:val="7"/>
  </w:num>
  <w:num w:numId="19">
    <w:abstractNumId w:val="35"/>
  </w:num>
  <w:num w:numId="20">
    <w:abstractNumId w:val="34"/>
  </w:num>
  <w:num w:numId="21">
    <w:abstractNumId w:val="11"/>
  </w:num>
  <w:num w:numId="22">
    <w:abstractNumId w:val="30"/>
  </w:num>
  <w:num w:numId="23">
    <w:abstractNumId w:val="0"/>
  </w:num>
  <w:num w:numId="24">
    <w:abstractNumId w:val="15"/>
  </w:num>
  <w:num w:numId="25">
    <w:abstractNumId w:val="18"/>
  </w:num>
  <w:num w:numId="26">
    <w:abstractNumId w:val="12"/>
  </w:num>
  <w:num w:numId="27">
    <w:abstractNumId w:val="27"/>
  </w:num>
  <w:num w:numId="28">
    <w:abstractNumId w:val="4"/>
  </w:num>
  <w:num w:numId="29">
    <w:abstractNumId w:val="23"/>
  </w:num>
  <w:num w:numId="30">
    <w:abstractNumId w:val="17"/>
  </w:num>
  <w:num w:numId="31">
    <w:abstractNumId w:val="8"/>
  </w:num>
  <w:num w:numId="32">
    <w:abstractNumId w:val="32"/>
  </w:num>
  <w:num w:numId="33">
    <w:abstractNumId w:val="38"/>
  </w:num>
  <w:num w:numId="34">
    <w:abstractNumId w:val="2"/>
  </w:num>
  <w:num w:numId="35">
    <w:abstractNumId w:val="13"/>
  </w:num>
  <w:num w:numId="36">
    <w:abstractNumId w:val="19"/>
  </w:num>
  <w:num w:numId="37">
    <w:abstractNumId w:val="20"/>
  </w:num>
  <w:num w:numId="38">
    <w:abstractNumId w:val="29"/>
  </w:num>
  <w:num w:numId="39">
    <w:abstractNumId w:val="24"/>
  </w:num>
  <w:num w:numId="40">
    <w:abstractNumId w:val="2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C1"/>
    <w:rsid w:val="000615FD"/>
    <w:rsid w:val="001A2FE7"/>
    <w:rsid w:val="001A621B"/>
    <w:rsid w:val="002238A8"/>
    <w:rsid w:val="00421A94"/>
    <w:rsid w:val="00475D49"/>
    <w:rsid w:val="004D6E23"/>
    <w:rsid w:val="00607843"/>
    <w:rsid w:val="00632E93"/>
    <w:rsid w:val="0068742B"/>
    <w:rsid w:val="008B0DEE"/>
    <w:rsid w:val="00947750"/>
    <w:rsid w:val="00A6649F"/>
    <w:rsid w:val="00A96B7E"/>
    <w:rsid w:val="00AB7DDC"/>
    <w:rsid w:val="00AD1FC1"/>
    <w:rsid w:val="00B307A9"/>
    <w:rsid w:val="00C01D30"/>
    <w:rsid w:val="00C24DB7"/>
    <w:rsid w:val="00C661BC"/>
    <w:rsid w:val="00CD2598"/>
    <w:rsid w:val="00CD2901"/>
    <w:rsid w:val="00E3240D"/>
    <w:rsid w:val="00E8626F"/>
    <w:rsid w:val="00EB6D0D"/>
    <w:rsid w:val="00F37028"/>
    <w:rsid w:val="00F62D29"/>
    <w:rsid w:val="00F74987"/>
    <w:rsid w:val="00FC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75A4F82"/>
  <w15:chartTrackingRefBased/>
  <w15:docId w15:val="{C7F201EF-E309-4A82-A780-D5477FE64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1F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FC1"/>
  </w:style>
  <w:style w:type="paragraph" w:styleId="Footer">
    <w:name w:val="footer"/>
    <w:basedOn w:val="Normal"/>
    <w:link w:val="FooterChar"/>
    <w:uiPriority w:val="99"/>
    <w:unhideWhenUsed/>
    <w:rsid w:val="00AD1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FC1"/>
  </w:style>
  <w:style w:type="paragraph" w:styleId="ListParagraph">
    <w:name w:val="List Paragraph"/>
    <w:basedOn w:val="Normal"/>
    <w:uiPriority w:val="34"/>
    <w:qFormat/>
    <w:rsid w:val="0068742B"/>
    <w:pPr>
      <w:ind w:left="720"/>
      <w:contextualSpacing/>
    </w:pPr>
  </w:style>
  <w:style w:type="table" w:styleId="TableGrid">
    <w:name w:val="Table Grid"/>
    <w:basedOn w:val="TableNormal"/>
    <w:uiPriority w:val="39"/>
    <w:rsid w:val="00E3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0D"/>
    <w:rPr>
      <w:rFonts w:ascii="Segoe UI" w:hAnsi="Segoe UI" w:cs="Segoe UI"/>
      <w:sz w:val="18"/>
      <w:szCs w:val="18"/>
    </w:rPr>
  </w:style>
  <w:style w:type="character" w:styleId="Hyperlink">
    <w:name w:val="Hyperlink"/>
    <w:basedOn w:val="DefaultParagraphFont"/>
    <w:uiPriority w:val="99"/>
    <w:unhideWhenUsed/>
    <w:rsid w:val="00E3240D"/>
    <w:rPr>
      <w:color w:val="0563C1" w:themeColor="hyperlink"/>
      <w:u w:val="single"/>
    </w:rPr>
  </w:style>
  <w:style w:type="character" w:styleId="Mention">
    <w:name w:val="Mention"/>
    <w:basedOn w:val="DefaultParagraphFont"/>
    <w:uiPriority w:val="99"/>
    <w:semiHidden/>
    <w:unhideWhenUsed/>
    <w:rsid w:val="00E324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9808">
      <w:bodyDiv w:val="1"/>
      <w:marLeft w:val="0"/>
      <w:marRight w:val="0"/>
      <w:marTop w:val="0"/>
      <w:marBottom w:val="0"/>
      <w:divBdr>
        <w:top w:val="none" w:sz="0" w:space="0" w:color="auto"/>
        <w:left w:val="none" w:sz="0" w:space="0" w:color="auto"/>
        <w:bottom w:val="none" w:sz="0" w:space="0" w:color="auto"/>
        <w:right w:val="none" w:sz="0" w:space="0" w:color="auto"/>
      </w:divBdr>
    </w:div>
    <w:div w:id="731733004">
      <w:bodyDiv w:val="1"/>
      <w:marLeft w:val="0"/>
      <w:marRight w:val="0"/>
      <w:marTop w:val="0"/>
      <w:marBottom w:val="0"/>
      <w:divBdr>
        <w:top w:val="none" w:sz="0" w:space="0" w:color="auto"/>
        <w:left w:val="none" w:sz="0" w:space="0" w:color="auto"/>
        <w:bottom w:val="none" w:sz="0" w:space="0" w:color="auto"/>
        <w:right w:val="none" w:sz="0" w:space="0" w:color="auto"/>
      </w:divBdr>
    </w:div>
    <w:div w:id="885524395">
      <w:bodyDiv w:val="1"/>
      <w:marLeft w:val="0"/>
      <w:marRight w:val="0"/>
      <w:marTop w:val="0"/>
      <w:marBottom w:val="0"/>
      <w:divBdr>
        <w:top w:val="none" w:sz="0" w:space="0" w:color="auto"/>
        <w:left w:val="none" w:sz="0" w:space="0" w:color="auto"/>
        <w:bottom w:val="none" w:sz="0" w:space="0" w:color="auto"/>
        <w:right w:val="none" w:sz="0" w:space="0" w:color="auto"/>
      </w:divBdr>
    </w:div>
    <w:div w:id="1825851797">
      <w:bodyDiv w:val="1"/>
      <w:marLeft w:val="0"/>
      <w:marRight w:val="0"/>
      <w:marTop w:val="0"/>
      <w:marBottom w:val="0"/>
      <w:divBdr>
        <w:top w:val="none" w:sz="0" w:space="0" w:color="auto"/>
        <w:left w:val="none" w:sz="0" w:space="0" w:color="auto"/>
        <w:bottom w:val="none" w:sz="0" w:space="0" w:color="auto"/>
        <w:right w:val="none" w:sz="0" w:space="0" w:color="auto"/>
      </w:divBdr>
    </w:div>
    <w:div w:id="1890796911">
      <w:bodyDiv w:val="1"/>
      <w:marLeft w:val="0"/>
      <w:marRight w:val="0"/>
      <w:marTop w:val="0"/>
      <w:marBottom w:val="0"/>
      <w:divBdr>
        <w:top w:val="none" w:sz="0" w:space="0" w:color="auto"/>
        <w:left w:val="none" w:sz="0" w:space="0" w:color="auto"/>
        <w:bottom w:val="none" w:sz="0" w:space="0" w:color="auto"/>
        <w:right w:val="none" w:sz="0" w:space="0" w:color="auto"/>
      </w:divBdr>
    </w:div>
    <w:div w:id="205483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hyperlink" Target="mailto:info@discoveringdiversity.com"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CDDFDC55B414CB96615A4042E136D" ma:contentTypeVersion="2" ma:contentTypeDescription="Create a new document." ma:contentTypeScope="" ma:versionID="7ff48dbc0f3bc271dda787e9a3d940d0">
  <xsd:schema xmlns:xsd="http://www.w3.org/2001/XMLSchema" xmlns:xs="http://www.w3.org/2001/XMLSchema" xmlns:p="http://schemas.microsoft.com/office/2006/metadata/properties" xmlns:ns2="e98e50d7-8095-49ce-ae17-5e6530f43a9c" targetNamespace="http://schemas.microsoft.com/office/2006/metadata/properties" ma:root="true" ma:fieldsID="02082532e409da24b8b3eabb7da2ca96" ns2:_="">
    <xsd:import namespace="e98e50d7-8095-49ce-ae17-5e6530f43a9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50d7-8095-49ce-ae17-5e6530f43a9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ABA64-FDFD-4DE1-BB4E-736E43E59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50d7-8095-49ce-ae17-5e6530f43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81FD4-7D34-4517-A551-00486DBDDE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FD5A18-FBAF-450E-8B72-5DD71904FE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Fredlund</dc:creator>
  <cp:keywords/>
  <dc:description/>
  <cp:lastModifiedBy>Jason Fredlund</cp:lastModifiedBy>
  <cp:revision>3</cp:revision>
  <cp:lastPrinted>2017-05-09T21:46:00Z</cp:lastPrinted>
  <dcterms:created xsi:type="dcterms:W3CDTF">2017-05-09T21:49:00Z</dcterms:created>
  <dcterms:modified xsi:type="dcterms:W3CDTF">2017-05-11T15:14:00Z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0x010100D6ECDDFDC55B414CB96615A4042E136D</vt:lpwstr>
  </property>
</Properties>
</file>